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61" w:rsidRDefault="00FC0061" w:rsidP="004348E0">
      <w:pPr>
        <w:tabs>
          <w:tab w:val="left" w:pos="720"/>
        </w:tabs>
        <w:spacing w:before="240" w:after="660"/>
        <w:jc w:val="center"/>
        <w:rPr>
          <w:rFonts w:cs="Arial"/>
          <w:color w:val="095489"/>
          <w:sz w:val="72"/>
          <w:szCs w:val="72"/>
        </w:rPr>
      </w:pPr>
      <w:r>
        <w:rPr>
          <w:rFonts w:cs="Arial"/>
          <w:color w:val="095489"/>
          <w:sz w:val="72"/>
          <w:szCs w:val="72"/>
        </w:rPr>
        <w:t xml:space="preserve">Summary of </w:t>
      </w:r>
      <w:r w:rsidR="00952137">
        <w:rPr>
          <w:rFonts w:cs="Arial"/>
          <w:color w:val="095489"/>
          <w:sz w:val="72"/>
          <w:szCs w:val="72"/>
        </w:rPr>
        <w:t>O</w:t>
      </w:r>
      <w:r>
        <w:rPr>
          <w:rFonts w:cs="Arial"/>
          <w:color w:val="095489"/>
          <w:sz w:val="72"/>
          <w:szCs w:val="72"/>
        </w:rPr>
        <w:t>utcomes</w:t>
      </w:r>
    </w:p>
    <w:p w:rsidR="00FC0061" w:rsidRDefault="00FC0061" w:rsidP="00FC0061">
      <w:pPr>
        <w:tabs>
          <w:tab w:val="left" w:pos="720"/>
        </w:tabs>
        <w:spacing w:before="240" w:after="660"/>
        <w:jc w:val="center"/>
        <w:rPr>
          <w:rFonts w:cs="Arial"/>
          <w:color w:val="095489"/>
          <w:sz w:val="72"/>
          <w:szCs w:val="72"/>
        </w:rPr>
      </w:pPr>
      <w:r>
        <w:rPr>
          <w:rFonts w:cs="Arial"/>
          <w:color w:val="095489"/>
          <w:sz w:val="72"/>
          <w:szCs w:val="72"/>
        </w:rPr>
        <w:t xml:space="preserve">Real </w:t>
      </w:r>
      <w:r w:rsidR="00952137">
        <w:rPr>
          <w:rFonts w:cs="Arial"/>
          <w:color w:val="095489"/>
          <w:sz w:val="72"/>
          <w:szCs w:val="72"/>
        </w:rPr>
        <w:t>T</w:t>
      </w:r>
      <w:r>
        <w:rPr>
          <w:rFonts w:cs="Arial"/>
          <w:color w:val="095489"/>
          <w:sz w:val="72"/>
          <w:szCs w:val="72"/>
        </w:rPr>
        <w:t xml:space="preserve">ime </w:t>
      </w:r>
      <w:r w:rsidR="00952137">
        <w:rPr>
          <w:rFonts w:cs="Arial"/>
          <w:color w:val="095489"/>
          <w:sz w:val="72"/>
          <w:szCs w:val="72"/>
        </w:rPr>
        <w:t>P</w:t>
      </w:r>
      <w:r>
        <w:rPr>
          <w:rFonts w:cs="Arial"/>
          <w:color w:val="095489"/>
          <w:sz w:val="72"/>
          <w:szCs w:val="72"/>
        </w:rPr>
        <w:t xml:space="preserve">rescription </w:t>
      </w:r>
      <w:r w:rsidR="00952137">
        <w:rPr>
          <w:rFonts w:cs="Arial"/>
          <w:color w:val="095489"/>
          <w:sz w:val="72"/>
          <w:szCs w:val="72"/>
        </w:rPr>
        <w:t>M</w:t>
      </w:r>
      <w:r>
        <w:rPr>
          <w:rFonts w:cs="Arial"/>
          <w:color w:val="095489"/>
          <w:sz w:val="72"/>
          <w:szCs w:val="72"/>
        </w:rPr>
        <w:t xml:space="preserve">onitoring </w:t>
      </w:r>
      <w:r w:rsidR="00952137">
        <w:rPr>
          <w:rFonts w:cs="Arial"/>
          <w:color w:val="095489"/>
          <w:sz w:val="72"/>
          <w:szCs w:val="72"/>
        </w:rPr>
        <w:t>W</w:t>
      </w:r>
      <w:r>
        <w:rPr>
          <w:rFonts w:cs="Arial"/>
          <w:color w:val="095489"/>
          <w:sz w:val="72"/>
          <w:szCs w:val="72"/>
        </w:rPr>
        <w:t xml:space="preserve">orkshops </w:t>
      </w:r>
    </w:p>
    <w:p w:rsidR="00FC0061" w:rsidRPr="00E608F3" w:rsidRDefault="00FC0061" w:rsidP="00E608F3">
      <w:pPr>
        <w:tabs>
          <w:tab w:val="left" w:pos="720"/>
        </w:tabs>
        <w:spacing w:before="240" w:after="660"/>
        <w:jc w:val="center"/>
        <w:rPr>
          <w:rFonts w:cs="Arial"/>
          <w:color w:val="095489"/>
          <w:sz w:val="72"/>
          <w:szCs w:val="72"/>
        </w:rPr>
      </w:pPr>
      <w:r>
        <w:rPr>
          <w:rFonts w:cs="Arial"/>
          <w:color w:val="095489"/>
          <w:sz w:val="72"/>
          <w:szCs w:val="72"/>
        </w:rPr>
        <w:t>April to June 2019</w:t>
      </w:r>
      <w:r w:rsidR="00FB4B69">
        <w:rPr>
          <w:noProof/>
          <w:lang w:eastAsia="en-AU"/>
        </w:rPr>
        <mc:AlternateContent>
          <mc:Choice Requires="wps">
            <w:drawing>
              <wp:anchor distT="0" distB="0" distL="114300" distR="114300" simplePos="0" relativeHeight="251659264" behindDoc="0" locked="0" layoutInCell="1" allowOverlap="1" wp14:anchorId="0555FABC" wp14:editId="4E80BA93">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312C07" w:rsidRDefault="00312C07" w:rsidP="00FB4B69">
                            <w:r>
                              <w:rPr>
                                <w:noProof/>
                                <w:lang w:eastAsia="en-AU"/>
                              </w:rPr>
                              <w:drawing>
                                <wp:inline distT="0" distB="0" distL="0" distR="0" wp14:anchorId="0FA3ECA9" wp14:editId="1EBAD7D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312C07" w:rsidRDefault="00312C07" w:rsidP="00FB4B69">
                      <w:r>
                        <w:rPr>
                          <w:noProof/>
                          <w:lang w:eastAsia="en-AU"/>
                        </w:rPr>
                        <w:drawing>
                          <wp:inline distT="0" distB="0" distL="0" distR="0" wp14:anchorId="0FA3ECA9" wp14:editId="1EBAD7DA">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p>
    <w:p w:rsidR="00FC0061" w:rsidRDefault="00FC0061" w:rsidP="00FC0061"/>
    <w:p w:rsidR="00FC0061" w:rsidRPr="00FC0061" w:rsidRDefault="00FC0061" w:rsidP="00FC0061">
      <w:pPr>
        <w:sectPr w:rsidR="00FC0061" w:rsidRPr="00FC0061" w:rsidSect="00CA452A">
          <w:headerReference w:type="default" r:id="rId13"/>
          <w:footerReference w:type="default" r:id="rId14"/>
          <w:pgSz w:w="11906" w:h="16838"/>
          <w:pgMar w:top="4678" w:right="688" w:bottom="851" w:left="851" w:header="709" w:footer="441" w:gutter="0"/>
          <w:cols w:space="708"/>
          <w:docGrid w:linePitch="360"/>
        </w:sectPr>
      </w:pPr>
    </w:p>
    <w:p w:rsidR="0064686E" w:rsidRDefault="0064686E">
      <w:pPr>
        <w:pStyle w:val="TOCHeading"/>
      </w:pPr>
      <w:r>
        <w:lastRenderedPageBreak/>
        <w:t>Contents</w:t>
      </w:r>
    </w:p>
    <w:p w:rsidR="007C0D35" w:rsidRDefault="0064686E">
      <w:pPr>
        <w:pStyle w:val="TOC1"/>
        <w:tabs>
          <w:tab w:val="left" w:pos="480"/>
        </w:tabs>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18414673" w:history="1">
        <w:r w:rsidR="007C0D35" w:rsidRPr="009F1E4C">
          <w:rPr>
            <w:rStyle w:val="Hyperlink"/>
          </w:rPr>
          <w:t>2</w:t>
        </w:r>
        <w:r w:rsidR="007C0D35">
          <w:rPr>
            <w:rFonts w:asciiTheme="minorHAnsi" w:eastAsiaTheme="minorEastAsia" w:hAnsiTheme="minorHAnsi" w:cstheme="minorBidi"/>
            <w:sz w:val="22"/>
            <w:lang w:eastAsia="en-AU"/>
          </w:rPr>
          <w:tab/>
        </w:r>
        <w:r w:rsidR="007C0D35" w:rsidRPr="009F1E4C">
          <w:rPr>
            <w:rStyle w:val="Hyperlink"/>
          </w:rPr>
          <w:t>Background and Objectives</w:t>
        </w:r>
        <w:r w:rsidR="007C0D35">
          <w:rPr>
            <w:webHidden/>
          </w:rPr>
          <w:tab/>
        </w:r>
        <w:r w:rsidR="007C0D35">
          <w:rPr>
            <w:webHidden/>
          </w:rPr>
          <w:fldChar w:fldCharType="begin"/>
        </w:r>
        <w:r w:rsidR="007C0D35">
          <w:rPr>
            <w:webHidden/>
          </w:rPr>
          <w:instrText xml:space="preserve"> PAGEREF _Toc18414673 \h </w:instrText>
        </w:r>
        <w:r w:rsidR="007C0D35">
          <w:rPr>
            <w:webHidden/>
          </w:rPr>
        </w:r>
        <w:r w:rsidR="007C0D35">
          <w:rPr>
            <w:webHidden/>
          </w:rPr>
          <w:fldChar w:fldCharType="separate"/>
        </w:r>
        <w:r w:rsidR="007C0D35">
          <w:rPr>
            <w:webHidden/>
          </w:rPr>
          <w:t>2</w:t>
        </w:r>
        <w:r w:rsidR="007C0D35">
          <w:rPr>
            <w:webHidden/>
          </w:rPr>
          <w:fldChar w:fldCharType="end"/>
        </w:r>
      </w:hyperlink>
    </w:p>
    <w:p w:rsidR="007C0D35" w:rsidRDefault="007C0D35">
      <w:pPr>
        <w:pStyle w:val="TOC1"/>
        <w:tabs>
          <w:tab w:val="left" w:pos="480"/>
        </w:tabs>
        <w:rPr>
          <w:rFonts w:asciiTheme="minorHAnsi" w:eastAsiaTheme="minorEastAsia" w:hAnsiTheme="minorHAnsi" w:cstheme="minorBidi"/>
          <w:sz w:val="22"/>
          <w:lang w:eastAsia="en-AU"/>
        </w:rPr>
      </w:pPr>
      <w:hyperlink w:anchor="_Toc18414674" w:history="1">
        <w:r w:rsidRPr="009F1E4C">
          <w:rPr>
            <w:rStyle w:val="Hyperlink"/>
          </w:rPr>
          <w:t>3</w:t>
        </w:r>
        <w:r>
          <w:rPr>
            <w:rFonts w:asciiTheme="minorHAnsi" w:eastAsiaTheme="minorEastAsia" w:hAnsiTheme="minorHAnsi" w:cstheme="minorBidi"/>
            <w:sz w:val="22"/>
            <w:lang w:eastAsia="en-AU"/>
          </w:rPr>
          <w:tab/>
        </w:r>
        <w:r w:rsidRPr="009F1E4C">
          <w:rPr>
            <w:rStyle w:val="Hyperlink"/>
          </w:rPr>
          <w:t>Workshop One</w:t>
        </w:r>
        <w:r>
          <w:rPr>
            <w:webHidden/>
          </w:rPr>
          <w:tab/>
        </w:r>
        <w:r>
          <w:rPr>
            <w:webHidden/>
          </w:rPr>
          <w:fldChar w:fldCharType="begin"/>
        </w:r>
        <w:r>
          <w:rPr>
            <w:webHidden/>
          </w:rPr>
          <w:instrText xml:space="preserve"> PAGEREF _Toc18414674 \h </w:instrText>
        </w:r>
        <w:r>
          <w:rPr>
            <w:webHidden/>
          </w:rPr>
        </w:r>
        <w:r>
          <w:rPr>
            <w:webHidden/>
          </w:rPr>
          <w:fldChar w:fldCharType="separate"/>
        </w:r>
        <w:r>
          <w:rPr>
            <w:webHidden/>
          </w:rPr>
          <w:t>3</w:t>
        </w:r>
        <w:r>
          <w:rPr>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75" w:history="1">
        <w:r w:rsidRPr="009F1E4C">
          <w:rPr>
            <w:rStyle w:val="Hyperlink"/>
            <w:noProof/>
          </w:rPr>
          <w:t>3.1</w:t>
        </w:r>
        <w:r>
          <w:rPr>
            <w:rFonts w:asciiTheme="minorHAnsi" w:eastAsiaTheme="minorEastAsia" w:hAnsiTheme="minorHAnsi" w:cstheme="minorBidi"/>
            <w:noProof/>
            <w:sz w:val="22"/>
            <w:lang w:eastAsia="en-AU"/>
          </w:rPr>
          <w:tab/>
        </w:r>
        <w:r w:rsidRPr="009F1E4C">
          <w:rPr>
            <w:rStyle w:val="Hyperlink"/>
            <w:noProof/>
          </w:rPr>
          <w:t>Factors for reportable Schedule 4 medicines</w:t>
        </w:r>
        <w:r>
          <w:rPr>
            <w:noProof/>
            <w:webHidden/>
          </w:rPr>
          <w:tab/>
        </w:r>
        <w:r>
          <w:rPr>
            <w:noProof/>
            <w:webHidden/>
          </w:rPr>
          <w:fldChar w:fldCharType="begin"/>
        </w:r>
        <w:r>
          <w:rPr>
            <w:noProof/>
            <w:webHidden/>
          </w:rPr>
          <w:instrText xml:space="preserve"> PAGEREF _Toc18414675 \h </w:instrText>
        </w:r>
        <w:r>
          <w:rPr>
            <w:noProof/>
            <w:webHidden/>
          </w:rPr>
        </w:r>
        <w:r>
          <w:rPr>
            <w:noProof/>
            <w:webHidden/>
          </w:rPr>
          <w:fldChar w:fldCharType="separate"/>
        </w:r>
        <w:r>
          <w:rPr>
            <w:noProof/>
            <w:webHidden/>
          </w:rPr>
          <w:t>3</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76" w:history="1">
        <w:r w:rsidRPr="009F1E4C">
          <w:rPr>
            <w:rStyle w:val="Hyperlink"/>
            <w:noProof/>
          </w:rPr>
          <w:t>3.2</w:t>
        </w:r>
        <w:r>
          <w:rPr>
            <w:rFonts w:asciiTheme="minorHAnsi" w:eastAsiaTheme="minorEastAsia" w:hAnsiTheme="minorHAnsi" w:cstheme="minorBidi"/>
            <w:noProof/>
            <w:sz w:val="22"/>
            <w:lang w:eastAsia="en-AU"/>
          </w:rPr>
          <w:tab/>
        </w:r>
        <w:r w:rsidRPr="009F1E4C">
          <w:rPr>
            <w:rStyle w:val="Hyperlink"/>
            <w:noProof/>
          </w:rPr>
          <w:t>Specific Schedule 4 medicines to be reported</w:t>
        </w:r>
        <w:r>
          <w:rPr>
            <w:noProof/>
            <w:webHidden/>
          </w:rPr>
          <w:tab/>
        </w:r>
        <w:r>
          <w:rPr>
            <w:noProof/>
            <w:webHidden/>
          </w:rPr>
          <w:fldChar w:fldCharType="begin"/>
        </w:r>
        <w:r>
          <w:rPr>
            <w:noProof/>
            <w:webHidden/>
          </w:rPr>
          <w:instrText xml:space="preserve"> PAGEREF _Toc18414676 \h </w:instrText>
        </w:r>
        <w:r>
          <w:rPr>
            <w:noProof/>
            <w:webHidden/>
          </w:rPr>
        </w:r>
        <w:r>
          <w:rPr>
            <w:noProof/>
            <w:webHidden/>
          </w:rPr>
          <w:fldChar w:fldCharType="separate"/>
        </w:r>
        <w:r>
          <w:rPr>
            <w:noProof/>
            <w:webHidden/>
          </w:rPr>
          <w:t>3</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77" w:history="1">
        <w:r w:rsidRPr="009F1E4C">
          <w:rPr>
            <w:rStyle w:val="Hyperlink"/>
            <w:noProof/>
          </w:rPr>
          <w:t>3.3</w:t>
        </w:r>
        <w:r>
          <w:rPr>
            <w:rFonts w:asciiTheme="minorHAnsi" w:eastAsiaTheme="minorEastAsia" w:hAnsiTheme="minorHAnsi" w:cstheme="minorBidi"/>
            <w:noProof/>
            <w:sz w:val="22"/>
            <w:lang w:eastAsia="en-AU"/>
          </w:rPr>
          <w:tab/>
        </w:r>
        <w:r w:rsidRPr="009F1E4C">
          <w:rPr>
            <w:rStyle w:val="Hyperlink"/>
            <w:noProof/>
          </w:rPr>
          <w:t>Authorisation to prescribe Schedule 4 reportable medicines</w:t>
        </w:r>
        <w:r>
          <w:rPr>
            <w:noProof/>
            <w:webHidden/>
          </w:rPr>
          <w:tab/>
        </w:r>
        <w:r>
          <w:rPr>
            <w:noProof/>
            <w:webHidden/>
          </w:rPr>
          <w:fldChar w:fldCharType="begin"/>
        </w:r>
        <w:r>
          <w:rPr>
            <w:noProof/>
            <w:webHidden/>
          </w:rPr>
          <w:instrText xml:space="preserve"> PAGEREF _Toc18414677 \h </w:instrText>
        </w:r>
        <w:r>
          <w:rPr>
            <w:noProof/>
            <w:webHidden/>
          </w:rPr>
        </w:r>
        <w:r>
          <w:rPr>
            <w:noProof/>
            <w:webHidden/>
          </w:rPr>
          <w:fldChar w:fldCharType="separate"/>
        </w:r>
        <w:r>
          <w:rPr>
            <w:noProof/>
            <w:webHidden/>
          </w:rPr>
          <w:t>4</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78" w:history="1">
        <w:r w:rsidRPr="009F1E4C">
          <w:rPr>
            <w:rStyle w:val="Hyperlink"/>
            <w:noProof/>
          </w:rPr>
          <w:t>3.4</w:t>
        </w:r>
        <w:r>
          <w:rPr>
            <w:rFonts w:asciiTheme="minorHAnsi" w:eastAsiaTheme="minorEastAsia" w:hAnsiTheme="minorHAnsi" w:cstheme="minorBidi"/>
            <w:noProof/>
            <w:sz w:val="22"/>
            <w:lang w:eastAsia="en-AU"/>
          </w:rPr>
          <w:tab/>
        </w:r>
        <w:r w:rsidRPr="009F1E4C">
          <w:rPr>
            <w:rStyle w:val="Hyperlink"/>
            <w:noProof/>
          </w:rPr>
          <w:t>Implications for prescribers and pharmacists</w:t>
        </w:r>
        <w:r>
          <w:rPr>
            <w:noProof/>
            <w:webHidden/>
          </w:rPr>
          <w:tab/>
        </w:r>
        <w:r>
          <w:rPr>
            <w:noProof/>
            <w:webHidden/>
          </w:rPr>
          <w:fldChar w:fldCharType="begin"/>
        </w:r>
        <w:r>
          <w:rPr>
            <w:noProof/>
            <w:webHidden/>
          </w:rPr>
          <w:instrText xml:space="preserve"> PAGEREF _Toc18414678 \h </w:instrText>
        </w:r>
        <w:r>
          <w:rPr>
            <w:noProof/>
            <w:webHidden/>
          </w:rPr>
        </w:r>
        <w:r>
          <w:rPr>
            <w:noProof/>
            <w:webHidden/>
          </w:rPr>
          <w:fldChar w:fldCharType="separate"/>
        </w:r>
        <w:r>
          <w:rPr>
            <w:noProof/>
            <w:webHidden/>
          </w:rPr>
          <w:t>4</w:t>
        </w:r>
        <w:r>
          <w:rPr>
            <w:noProof/>
            <w:webHidden/>
          </w:rPr>
          <w:fldChar w:fldCharType="end"/>
        </w:r>
      </w:hyperlink>
    </w:p>
    <w:p w:rsidR="007C0D35" w:rsidRDefault="007C0D35">
      <w:pPr>
        <w:pStyle w:val="TOC1"/>
        <w:tabs>
          <w:tab w:val="left" w:pos="480"/>
        </w:tabs>
        <w:rPr>
          <w:rFonts w:asciiTheme="minorHAnsi" w:eastAsiaTheme="minorEastAsia" w:hAnsiTheme="minorHAnsi" w:cstheme="minorBidi"/>
          <w:sz w:val="22"/>
          <w:lang w:eastAsia="en-AU"/>
        </w:rPr>
      </w:pPr>
      <w:hyperlink w:anchor="_Toc18414679" w:history="1">
        <w:r w:rsidRPr="009F1E4C">
          <w:rPr>
            <w:rStyle w:val="Hyperlink"/>
          </w:rPr>
          <w:t>4</w:t>
        </w:r>
        <w:r>
          <w:rPr>
            <w:rFonts w:asciiTheme="minorHAnsi" w:eastAsiaTheme="minorEastAsia" w:hAnsiTheme="minorHAnsi" w:cstheme="minorBidi"/>
            <w:sz w:val="22"/>
            <w:lang w:eastAsia="en-AU"/>
          </w:rPr>
          <w:tab/>
        </w:r>
        <w:r w:rsidRPr="009F1E4C">
          <w:rPr>
            <w:rStyle w:val="Hyperlink"/>
          </w:rPr>
          <w:t>Workshop Two</w:t>
        </w:r>
        <w:r>
          <w:rPr>
            <w:webHidden/>
          </w:rPr>
          <w:tab/>
        </w:r>
        <w:r>
          <w:rPr>
            <w:webHidden/>
          </w:rPr>
          <w:fldChar w:fldCharType="begin"/>
        </w:r>
        <w:r>
          <w:rPr>
            <w:webHidden/>
          </w:rPr>
          <w:instrText xml:space="preserve"> PAGEREF _Toc18414679 \h </w:instrText>
        </w:r>
        <w:r>
          <w:rPr>
            <w:webHidden/>
          </w:rPr>
        </w:r>
        <w:r>
          <w:rPr>
            <w:webHidden/>
          </w:rPr>
          <w:fldChar w:fldCharType="separate"/>
        </w:r>
        <w:r>
          <w:rPr>
            <w:webHidden/>
          </w:rPr>
          <w:t>6</w:t>
        </w:r>
        <w:r>
          <w:rPr>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0" w:history="1">
        <w:r w:rsidRPr="009F1E4C">
          <w:rPr>
            <w:rStyle w:val="Hyperlink"/>
            <w:noProof/>
          </w:rPr>
          <w:t>4.1</w:t>
        </w:r>
        <w:r>
          <w:rPr>
            <w:rFonts w:asciiTheme="minorHAnsi" w:eastAsiaTheme="minorEastAsia" w:hAnsiTheme="minorHAnsi" w:cstheme="minorBidi"/>
            <w:noProof/>
            <w:sz w:val="22"/>
            <w:lang w:eastAsia="en-AU"/>
          </w:rPr>
          <w:tab/>
        </w:r>
        <w:r w:rsidRPr="009F1E4C">
          <w:rPr>
            <w:rStyle w:val="Hyperlink"/>
            <w:noProof/>
          </w:rPr>
          <w:t>Doctor shopping</w:t>
        </w:r>
        <w:r>
          <w:rPr>
            <w:noProof/>
            <w:webHidden/>
          </w:rPr>
          <w:tab/>
        </w:r>
        <w:r>
          <w:rPr>
            <w:noProof/>
            <w:webHidden/>
          </w:rPr>
          <w:fldChar w:fldCharType="begin"/>
        </w:r>
        <w:r>
          <w:rPr>
            <w:noProof/>
            <w:webHidden/>
          </w:rPr>
          <w:instrText xml:space="preserve"> PAGEREF _Toc18414680 \h </w:instrText>
        </w:r>
        <w:r>
          <w:rPr>
            <w:noProof/>
            <w:webHidden/>
          </w:rPr>
        </w:r>
        <w:r>
          <w:rPr>
            <w:noProof/>
            <w:webHidden/>
          </w:rPr>
          <w:fldChar w:fldCharType="separate"/>
        </w:r>
        <w:r>
          <w:rPr>
            <w:noProof/>
            <w:webHidden/>
          </w:rPr>
          <w:t>6</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1" w:history="1">
        <w:r w:rsidRPr="009F1E4C">
          <w:rPr>
            <w:rStyle w:val="Hyperlink"/>
            <w:noProof/>
          </w:rPr>
          <w:t>4.2</w:t>
        </w:r>
        <w:r>
          <w:rPr>
            <w:rFonts w:asciiTheme="minorHAnsi" w:eastAsiaTheme="minorEastAsia" w:hAnsiTheme="minorHAnsi" w:cstheme="minorBidi"/>
            <w:noProof/>
            <w:sz w:val="22"/>
            <w:lang w:eastAsia="en-AU"/>
          </w:rPr>
          <w:tab/>
        </w:r>
        <w:r w:rsidRPr="009F1E4C">
          <w:rPr>
            <w:rStyle w:val="Hyperlink"/>
            <w:noProof/>
          </w:rPr>
          <w:t>Patient alerts</w:t>
        </w:r>
        <w:r>
          <w:rPr>
            <w:noProof/>
            <w:webHidden/>
          </w:rPr>
          <w:tab/>
        </w:r>
        <w:r>
          <w:rPr>
            <w:noProof/>
            <w:webHidden/>
          </w:rPr>
          <w:fldChar w:fldCharType="begin"/>
        </w:r>
        <w:r>
          <w:rPr>
            <w:noProof/>
            <w:webHidden/>
          </w:rPr>
          <w:instrText xml:space="preserve"> PAGEREF _Toc18414681 \h </w:instrText>
        </w:r>
        <w:r>
          <w:rPr>
            <w:noProof/>
            <w:webHidden/>
          </w:rPr>
        </w:r>
        <w:r>
          <w:rPr>
            <w:noProof/>
            <w:webHidden/>
          </w:rPr>
          <w:fldChar w:fldCharType="separate"/>
        </w:r>
        <w:r>
          <w:rPr>
            <w:noProof/>
            <w:webHidden/>
          </w:rPr>
          <w:t>6</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2" w:history="1">
        <w:r w:rsidRPr="009F1E4C">
          <w:rPr>
            <w:rStyle w:val="Hyperlink"/>
            <w:noProof/>
          </w:rPr>
          <w:t>4.3</w:t>
        </w:r>
        <w:r>
          <w:rPr>
            <w:rFonts w:asciiTheme="minorHAnsi" w:eastAsiaTheme="minorEastAsia" w:hAnsiTheme="minorHAnsi" w:cstheme="minorBidi"/>
            <w:noProof/>
            <w:sz w:val="22"/>
            <w:lang w:eastAsia="en-AU"/>
          </w:rPr>
          <w:tab/>
        </w:r>
        <w:r w:rsidRPr="009F1E4C">
          <w:rPr>
            <w:rStyle w:val="Hyperlink"/>
            <w:noProof/>
          </w:rPr>
          <w:t>Exemptions from mandatory use</w:t>
        </w:r>
        <w:r>
          <w:rPr>
            <w:noProof/>
            <w:webHidden/>
          </w:rPr>
          <w:tab/>
        </w:r>
        <w:r>
          <w:rPr>
            <w:noProof/>
            <w:webHidden/>
          </w:rPr>
          <w:fldChar w:fldCharType="begin"/>
        </w:r>
        <w:r>
          <w:rPr>
            <w:noProof/>
            <w:webHidden/>
          </w:rPr>
          <w:instrText xml:space="preserve"> PAGEREF _Toc18414682 \h </w:instrText>
        </w:r>
        <w:r>
          <w:rPr>
            <w:noProof/>
            <w:webHidden/>
          </w:rPr>
        </w:r>
        <w:r>
          <w:rPr>
            <w:noProof/>
            <w:webHidden/>
          </w:rPr>
          <w:fldChar w:fldCharType="separate"/>
        </w:r>
        <w:r>
          <w:rPr>
            <w:noProof/>
            <w:webHidden/>
          </w:rPr>
          <w:t>7</w:t>
        </w:r>
        <w:r>
          <w:rPr>
            <w:noProof/>
            <w:webHidden/>
          </w:rPr>
          <w:fldChar w:fldCharType="end"/>
        </w:r>
      </w:hyperlink>
    </w:p>
    <w:p w:rsidR="007C0D35" w:rsidRDefault="007C0D35">
      <w:pPr>
        <w:pStyle w:val="TOC1"/>
        <w:tabs>
          <w:tab w:val="left" w:pos="480"/>
        </w:tabs>
        <w:rPr>
          <w:rFonts w:asciiTheme="minorHAnsi" w:eastAsiaTheme="minorEastAsia" w:hAnsiTheme="minorHAnsi" w:cstheme="minorBidi"/>
          <w:sz w:val="22"/>
          <w:lang w:eastAsia="en-AU"/>
        </w:rPr>
      </w:pPr>
      <w:hyperlink w:anchor="_Toc18414683" w:history="1">
        <w:r w:rsidRPr="009F1E4C">
          <w:rPr>
            <w:rStyle w:val="Hyperlink"/>
          </w:rPr>
          <w:t>5</w:t>
        </w:r>
        <w:r>
          <w:rPr>
            <w:rFonts w:asciiTheme="minorHAnsi" w:eastAsiaTheme="minorEastAsia" w:hAnsiTheme="minorHAnsi" w:cstheme="minorBidi"/>
            <w:sz w:val="22"/>
            <w:lang w:eastAsia="en-AU"/>
          </w:rPr>
          <w:tab/>
        </w:r>
        <w:r w:rsidRPr="009F1E4C">
          <w:rPr>
            <w:rStyle w:val="Hyperlink"/>
          </w:rPr>
          <w:t>Workshop 3</w:t>
        </w:r>
        <w:r>
          <w:rPr>
            <w:webHidden/>
          </w:rPr>
          <w:tab/>
        </w:r>
        <w:r>
          <w:rPr>
            <w:webHidden/>
          </w:rPr>
          <w:fldChar w:fldCharType="begin"/>
        </w:r>
        <w:r>
          <w:rPr>
            <w:webHidden/>
          </w:rPr>
          <w:instrText xml:space="preserve"> PAGEREF _Toc18414683 \h </w:instrText>
        </w:r>
        <w:r>
          <w:rPr>
            <w:webHidden/>
          </w:rPr>
        </w:r>
        <w:r>
          <w:rPr>
            <w:webHidden/>
          </w:rPr>
          <w:fldChar w:fldCharType="separate"/>
        </w:r>
        <w:r>
          <w:rPr>
            <w:webHidden/>
          </w:rPr>
          <w:t>8</w:t>
        </w:r>
        <w:r>
          <w:rPr>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4" w:history="1">
        <w:r w:rsidRPr="009F1E4C">
          <w:rPr>
            <w:rStyle w:val="Hyperlink"/>
            <w:noProof/>
          </w:rPr>
          <w:t>5.1</w:t>
        </w:r>
        <w:r>
          <w:rPr>
            <w:rFonts w:asciiTheme="minorHAnsi" w:eastAsiaTheme="minorEastAsia" w:hAnsiTheme="minorHAnsi" w:cstheme="minorBidi"/>
            <w:noProof/>
            <w:sz w:val="22"/>
            <w:lang w:eastAsia="en-AU"/>
          </w:rPr>
          <w:tab/>
        </w:r>
        <w:r w:rsidRPr="009F1E4C">
          <w:rPr>
            <w:rStyle w:val="Hyperlink"/>
            <w:noProof/>
          </w:rPr>
          <w:t>Role of the Department of Health</w:t>
        </w:r>
        <w:r>
          <w:rPr>
            <w:noProof/>
            <w:webHidden/>
          </w:rPr>
          <w:tab/>
        </w:r>
        <w:r>
          <w:rPr>
            <w:noProof/>
            <w:webHidden/>
          </w:rPr>
          <w:fldChar w:fldCharType="begin"/>
        </w:r>
        <w:r>
          <w:rPr>
            <w:noProof/>
            <w:webHidden/>
          </w:rPr>
          <w:instrText xml:space="preserve"> PAGEREF _Toc18414684 \h </w:instrText>
        </w:r>
        <w:r>
          <w:rPr>
            <w:noProof/>
            <w:webHidden/>
          </w:rPr>
        </w:r>
        <w:r>
          <w:rPr>
            <w:noProof/>
            <w:webHidden/>
          </w:rPr>
          <w:fldChar w:fldCharType="separate"/>
        </w:r>
        <w:r>
          <w:rPr>
            <w:noProof/>
            <w:webHidden/>
          </w:rPr>
          <w:t>8</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5" w:history="1">
        <w:r w:rsidRPr="009F1E4C">
          <w:rPr>
            <w:rStyle w:val="Hyperlink"/>
            <w:noProof/>
            <w:lang w:val="en-US"/>
          </w:rPr>
          <w:t>5.2</w:t>
        </w:r>
        <w:r>
          <w:rPr>
            <w:rFonts w:asciiTheme="minorHAnsi" w:eastAsiaTheme="minorEastAsia" w:hAnsiTheme="minorHAnsi" w:cstheme="minorBidi"/>
            <w:noProof/>
            <w:sz w:val="22"/>
            <w:lang w:eastAsia="en-AU"/>
          </w:rPr>
          <w:tab/>
        </w:r>
        <w:r w:rsidRPr="009F1E4C">
          <w:rPr>
            <w:rStyle w:val="Hyperlink"/>
            <w:noProof/>
            <w:lang w:val="en-US"/>
          </w:rPr>
          <w:t>Access to RTPM data by other regulators</w:t>
        </w:r>
        <w:r>
          <w:rPr>
            <w:noProof/>
            <w:webHidden/>
          </w:rPr>
          <w:tab/>
        </w:r>
        <w:r>
          <w:rPr>
            <w:noProof/>
            <w:webHidden/>
          </w:rPr>
          <w:fldChar w:fldCharType="begin"/>
        </w:r>
        <w:r>
          <w:rPr>
            <w:noProof/>
            <w:webHidden/>
          </w:rPr>
          <w:instrText xml:space="preserve"> PAGEREF _Toc18414685 \h </w:instrText>
        </w:r>
        <w:r>
          <w:rPr>
            <w:noProof/>
            <w:webHidden/>
          </w:rPr>
        </w:r>
        <w:r>
          <w:rPr>
            <w:noProof/>
            <w:webHidden/>
          </w:rPr>
          <w:fldChar w:fldCharType="separate"/>
        </w:r>
        <w:r>
          <w:rPr>
            <w:noProof/>
            <w:webHidden/>
          </w:rPr>
          <w:t>9</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6" w:history="1">
        <w:r w:rsidRPr="009F1E4C">
          <w:rPr>
            <w:rStyle w:val="Hyperlink"/>
            <w:noProof/>
          </w:rPr>
          <w:t>5.3</w:t>
        </w:r>
        <w:r>
          <w:rPr>
            <w:rFonts w:asciiTheme="minorHAnsi" w:eastAsiaTheme="minorEastAsia" w:hAnsiTheme="minorHAnsi" w:cstheme="minorBidi"/>
            <w:noProof/>
            <w:sz w:val="22"/>
            <w:lang w:eastAsia="en-AU"/>
          </w:rPr>
          <w:tab/>
        </w:r>
        <w:r w:rsidRPr="009F1E4C">
          <w:rPr>
            <w:rStyle w:val="Hyperlink"/>
            <w:noProof/>
          </w:rPr>
          <w:t>Monitoring efficacy of RTPM</w:t>
        </w:r>
        <w:r>
          <w:rPr>
            <w:noProof/>
            <w:webHidden/>
          </w:rPr>
          <w:tab/>
        </w:r>
        <w:r>
          <w:rPr>
            <w:noProof/>
            <w:webHidden/>
          </w:rPr>
          <w:fldChar w:fldCharType="begin"/>
        </w:r>
        <w:r>
          <w:rPr>
            <w:noProof/>
            <w:webHidden/>
          </w:rPr>
          <w:instrText xml:space="preserve"> PAGEREF _Toc18414686 \h </w:instrText>
        </w:r>
        <w:r>
          <w:rPr>
            <w:noProof/>
            <w:webHidden/>
          </w:rPr>
        </w:r>
        <w:r>
          <w:rPr>
            <w:noProof/>
            <w:webHidden/>
          </w:rPr>
          <w:fldChar w:fldCharType="separate"/>
        </w:r>
        <w:r>
          <w:rPr>
            <w:noProof/>
            <w:webHidden/>
          </w:rPr>
          <w:t>10</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7" w:history="1">
        <w:r w:rsidRPr="009F1E4C">
          <w:rPr>
            <w:rStyle w:val="Hyperlink"/>
            <w:noProof/>
          </w:rPr>
          <w:t>5.4</w:t>
        </w:r>
        <w:r>
          <w:rPr>
            <w:rFonts w:asciiTheme="minorHAnsi" w:eastAsiaTheme="minorEastAsia" w:hAnsiTheme="minorHAnsi" w:cstheme="minorBidi"/>
            <w:noProof/>
            <w:sz w:val="22"/>
            <w:lang w:eastAsia="en-AU"/>
          </w:rPr>
          <w:tab/>
        </w:r>
        <w:r w:rsidRPr="009F1E4C">
          <w:rPr>
            <w:rStyle w:val="Hyperlink"/>
            <w:noProof/>
          </w:rPr>
          <w:t>Transition period</w:t>
        </w:r>
        <w:r>
          <w:rPr>
            <w:noProof/>
            <w:webHidden/>
          </w:rPr>
          <w:tab/>
        </w:r>
        <w:r>
          <w:rPr>
            <w:noProof/>
            <w:webHidden/>
          </w:rPr>
          <w:fldChar w:fldCharType="begin"/>
        </w:r>
        <w:r>
          <w:rPr>
            <w:noProof/>
            <w:webHidden/>
          </w:rPr>
          <w:instrText xml:space="preserve"> PAGEREF _Toc18414687 \h </w:instrText>
        </w:r>
        <w:r>
          <w:rPr>
            <w:noProof/>
            <w:webHidden/>
          </w:rPr>
        </w:r>
        <w:r>
          <w:rPr>
            <w:noProof/>
            <w:webHidden/>
          </w:rPr>
          <w:fldChar w:fldCharType="separate"/>
        </w:r>
        <w:r>
          <w:rPr>
            <w:noProof/>
            <w:webHidden/>
          </w:rPr>
          <w:t>10</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8" w:history="1">
        <w:r w:rsidRPr="009F1E4C">
          <w:rPr>
            <w:rStyle w:val="Hyperlink"/>
            <w:noProof/>
          </w:rPr>
          <w:t>5.5</w:t>
        </w:r>
        <w:r>
          <w:rPr>
            <w:rFonts w:asciiTheme="minorHAnsi" w:eastAsiaTheme="minorEastAsia" w:hAnsiTheme="minorHAnsi" w:cstheme="minorBidi"/>
            <w:noProof/>
            <w:sz w:val="22"/>
            <w:lang w:eastAsia="en-AU"/>
          </w:rPr>
          <w:tab/>
        </w:r>
        <w:r w:rsidRPr="009F1E4C">
          <w:rPr>
            <w:rStyle w:val="Hyperlink"/>
            <w:noProof/>
          </w:rPr>
          <w:t>Timing of alerts</w:t>
        </w:r>
        <w:r>
          <w:rPr>
            <w:noProof/>
            <w:webHidden/>
          </w:rPr>
          <w:tab/>
        </w:r>
        <w:r>
          <w:rPr>
            <w:noProof/>
            <w:webHidden/>
          </w:rPr>
          <w:fldChar w:fldCharType="begin"/>
        </w:r>
        <w:r>
          <w:rPr>
            <w:noProof/>
            <w:webHidden/>
          </w:rPr>
          <w:instrText xml:space="preserve"> PAGEREF _Toc18414688 \h </w:instrText>
        </w:r>
        <w:r>
          <w:rPr>
            <w:noProof/>
            <w:webHidden/>
          </w:rPr>
        </w:r>
        <w:r>
          <w:rPr>
            <w:noProof/>
            <w:webHidden/>
          </w:rPr>
          <w:fldChar w:fldCharType="separate"/>
        </w:r>
        <w:r>
          <w:rPr>
            <w:noProof/>
            <w:webHidden/>
          </w:rPr>
          <w:t>10</w:t>
        </w:r>
        <w:r>
          <w:rPr>
            <w:noProof/>
            <w:webHidden/>
          </w:rPr>
          <w:fldChar w:fldCharType="end"/>
        </w:r>
      </w:hyperlink>
    </w:p>
    <w:p w:rsidR="007C0D35" w:rsidRDefault="007C0D35">
      <w:pPr>
        <w:pStyle w:val="TOC2"/>
        <w:tabs>
          <w:tab w:val="left" w:pos="880"/>
        </w:tabs>
        <w:rPr>
          <w:rFonts w:asciiTheme="minorHAnsi" w:eastAsiaTheme="minorEastAsia" w:hAnsiTheme="minorHAnsi" w:cstheme="minorBidi"/>
          <w:noProof/>
          <w:sz w:val="22"/>
          <w:lang w:eastAsia="en-AU"/>
        </w:rPr>
      </w:pPr>
      <w:hyperlink w:anchor="_Toc18414689" w:history="1">
        <w:r w:rsidRPr="009F1E4C">
          <w:rPr>
            <w:rStyle w:val="Hyperlink"/>
            <w:noProof/>
            <w:lang w:val="en-US"/>
          </w:rPr>
          <w:t>5.6</w:t>
        </w:r>
        <w:r>
          <w:rPr>
            <w:rFonts w:asciiTheme="minorHAnsi" w:eastAsiaTheme="minorEastAsia" w:hAnsiTheme="minorHAnsi" w:cstheme="minorBidi"/>
            <w:noProof/>
            <w:sz w:val="22"/>
            <w:lang w:eastAsia="en-AU"/>
          </w:rPr>
          <w:tab/>
        </w:r>
        <w:r w:rsidRPr="009F1E4C">
          <w:rPr>
            <w:rStyle w:val="Hyperlink"/>
            <w:noProof/>
            <w:lang w:val="en-US"/>
          </w:rPr>
          <w:t>Next Steps</w:t>
        </w:r>
        <w:r>
          <w:rPr>
            <w:noProof/>
            <w:webHidden/>
          </w:rPr>
          <w:tab/>
        </w:r>
        <w:r>
          <w:rPr>
            <w:noProof/>
            <w:webHidden/>
          </w:rPr>
          <w:fldChar w:fldCharType="begin"/>
        </w:r>
        <w:r>
          <w:rPr>
            <w:noProof/>
            <w:webHidden/>
          </w:rPr>
          <w:instrText xml:space="preserve"> PAGEREF _Toc18414689 \h </w:instrText>
        </w:r>
        <w:r>
          <w:rPr>
            <w:noProof/>
            <w:webHidden/>
          </w:rPr>
        </w:r>
        <w:r>
          <w:rPr>
            <w:noProof/>
            <w:webHidden/>
          </w:rPr>
          <w:fldChar w:fldCharType="separate"/>
        </w:r>
        <w:r>
          <w:rPr>
            <w:noProof/>
            <w:webHidden/>
          </w:rPr>
          <w:t>10</w:t>
        </w:r>
        <w:r>
          <w:rPr>
            <w:noProof/>
            <w:webHidden/>
          </w:rPr>
          <w:fldChar w:fldCharType="end"/>
        </w:r>
      </w:hyperlink>
    </w:p>
    <w:p w:rsidR="007C0D35" w:rsidRDefault="007C0D35">
      <w:pPr>
        <w:pStyle w:val="TOC1"/>
        <w:tabs>
          <w:tab w:val="left" w:pos="480"/>
        </w:tabs>
        <w:rPr>
          <w:rFonts w:asciiTheme="minorHAnsi" w:eastAsiaTheme="minorEastAsia" w:hAnsiTheme="minorHAnsi" w:cstheme="minorBidi"/>
          <w:sz w:val="22"/>
          <w:lang w:eastAsia="en-AU"/>
        </w:rPr>
      </w:pPr>
      <w:hyperlink w:anchor="_Toc18414690" w:history="1">
        <w:r w:rsidRPr="009F1E4C">
          <w:rPr>
            <w:rStyle w:val="Hyperlink"/>
            <w:lang w:val="en-US"/>
          </w:rPr>
          <w:t>6</w:t>
        </w:r>
        <w:r>
          <w:rPr>
            <w:rFonts w:asciiTheme="minorHAnsi" w:eastAsiaTheme="minorEastAsia" w:hAnsiTheme="minorHAnsi" w:cstheme="minorBidi"/>
            <w:sz w:val="22"/>
            <w:lang w:eastAsia="en-AU"/>
          </w:rPr>
          <w:tab/>
        </w:r>
        <w:r w:rsidRPr="009F1E4C">
          <w:rPr>
            <w:rStyle w:val="Hyperlink"/>
            <w:lang w:val="en-US"/>
          </w:rPr>
          <w:t>Appendix A: Organisations that participated in the Workshops</w:t>
        </w:r>
        <w:r>
          <w:rPr>
            <w:webHidden/>
          </w:rPr>
          <w:tab/>
        </w:r>
        <w:r>
          <w:rPr>
            <w:webHidden/>
          </w:rPr>
          <w:fldChar w:fldCharType="begin"/>
        </w:r>
        <w:r>
          <w:rPr>
            <w:webHidden/>
          </w:rPr>
          <w:instrText xml:space="preserve"> PAGEREF _Toc18414690 \h </w:instrText>
        </w:r>
        <w:r>
          <w:rPr>
            <w:webHidden/>
          </w:rPr>
        </w:r>
        <w:r>
          <w:rPr>
            <w:webHidden/>
          </w:rPr>
          <w:fldChar w:fldCharType="separate"/>
        </w:r>
        <w:r>
          <w:rPr>
            <w:webHidden/>
          </w:rPr>
          <w:t>11</w:t>
        </w:r>
        <w:r>
          <w:rPr>
            <w:webHidden/>
          </w:rPr>
          <w:fldChar w:fldCharType="end"/>
        </w:r>
      </w:hyperlink>
    </w:p>
    <w:p w:rsidR="00D46677" w:rsidRDefault="0064686E" w:rsidP="00E608F3">
      <w:r>
        <w:rPr>
          <w:b/>
          <w:bCs/>
          <w:noProof/>
        </w:rPr>
        <w:fldChar w:fldCharType="end"/>
      </w:r>
      <w:r w:rsidR="00D46677">
        <w:br w:type="page"/>
      </w:r>
    </w:p>
    <w:p w:rsidR="00E07470" w:rsidRPr="00F36162" w:rsidRDefault="00E07470" w:rsidP="00E608F3">
      <w:pPr>
        <w:pStyle w:val="Heading1"/>
      </w:pPr>
      <w:bookmarkStart w:id="0" w:name="_Toc467492237"/>
      <w:bookmarkStart w:id="1" w:name="_Toc16257027"/>
      <w:bookmarkStart w:id="2" w:name="_Toc16257137"/>
      <w:bookmarkStart w:id="3" w:name="_Toc16257351"/>
      <w:bookmarkStart w:id="4" w:name="_Toc16257598"/>
      <w:bookmarkStart w:id="5" w:name="_Toc16257917"/>
      <w:bookmarkStart w:id="6" w:name="_Toc17973093"/>
      <w:bookmarkStart w:id="7" w:name="_Toc18414673"/>
      <w:r w:rsidRPr="00F36162">
        <w:lastRenderedPageBreak/>
        <w:t>Background and Objectives</w:t>
      </w:r>
      <w:bookmarkEnd w:id="0"/>
      <w:bookmarkEnd w:id="1"/>
      <w:bookmarkEnd w:id="2"/>
      <w:bookmarkEnd w:id="3"/>
      <w:bookmarkEnd w:id="4"/>
      <w:bookmarkEnd w:id="5"/>
      <w:bookmarkEnd w:id="6"/>
      <w:bookmarkEnd w:id="7"/>
    </w:p>
    <w:p w:rsidR="00E07470" w:rsidRDefault="00E07470" w:rsidP="00E07470">
      <w:pPr>
        <w:rPr>
          <w:rFonts w:cs="Arial"/>
        </w:rPr>
      </w:pPr>
      <w:r>
        <w:rPr>
          <w:rFonts w:cs="Arial"/>
        </w:rPr>
        <w:t xml:space="preserve">The Department of Health has commenced a project to enhance the existing monitoring program for Schedule 8 (controlled drugs) in Western Australia, which includes the adoption of a new electronic system capable of providing </w:t>
      </w:r>
      <w:r w:rsidR="00E608F3">
        <w:rPr>
          <w:rFonts w:cs="Arial"/>
        </w:rPr>
        <w:t>R</w:t>
      </w:r>
      <w:r>
        <w:rPr>
          <w:rFonts w:cs="Arial"/>
        </w:rPr>
        <w:t xml:space="preserve">eal </w:t>
      </w:r>
      <w:r w:rsidR="00E608F3">
        <w:rPr>
          <w:rFonts w:cs="Arial"/>
        </w:rPr>
        <w:t>T</w:t>
      </w:r>
      <w:r>
        <w:rPr>
          <w:rFonts w:cs="Arial"/>
        </w:rPr>
        <w:t xml:space="preserve">ime </w:t>
      </w:r>
      <w:r w:rsidR="00E608F3">
        <w:rPr>
          <w:rFonts w:cs="Arial"/>
        </w:rPr>
        <w:t>P</w:t>
      </w:r>
      <w:r>
        <w:rPr>
          <w:rFonts w:cs="Arial"/>
        </w:rPr>
        <w:t xml:space="preserve">rescription </w:t>
      </w:r>
      <w:r w:rsidR="00E608F3">
        <w:rPr>
          <w:rFonts w:cs="Arial"/>
        </w:rPr>
        <w:t>M</w:t>
      </w:r>
      <w:r>
        <w:rPr>
          <w:rFonts w:cs="Arial"/>
        </w:rPr>
        <w:t>onitoring</w:t>
      </w:r>
      <w:r w:rsidR="00E608F3">
        <w:rPr>
          <w:rFonts w:cs="Arial"/>
        </w:rPr>
        <w:t xml:space="preserve"> (RTPM)</w:t>
      </w:r>
      <w:r>
        <w:rPr>
          <w:rFonts w:cs="Arial"/>
        </w:rPr>
        <w:t xml:space="preserve">. </w:t>
      </w:r>
    </w:p>
    <w:p w:rsidR="00E07470" w:rsidRDefault="00E07470" w:rsidP="00E07470">
      <w:pPr>
        <w:rPr>
          <w:rFonts w:cs="Arial"/>
        </w:rPr>
      </w:pPr>
      <w:r>
        <w:rPr>
          <w:rFonts w:cs="Arial"/>
        </w:rPr>
        <w:t>The intention of this system is to provide health professionals with online access to real time prescribing and dispensing history for controlled drugs and contribute to any national system that may be introduced.</w:t>
      </w:r>
    </w:p>
    <w:p w:rsidR="00126EEF" w:rsidRDefault="00E07470" w:rsidP="00E07470">
      <w:pPr>
        <w:rPr>
          <w:rFonts w:cs="Arial"/>
        </w:rPr>
      </w:pPr>
      <w:r>
        <w:rPr>
          <w:rFonts w:cs="Arial"/>
        </w:rPr>
        <w:t xml:space="preserve">As part of this project, the Department conducted three workshops to engage with key stakeholders </w:t>
      </w:r>
      <w:r w:rsidR="00E608F3">
        <w:rPr>
          <w:rFonts w:cs="Arial"/>
        </w:rPr>
        <w:t xml:space="preserve">and </w:t>
      </w:r>
      <w:r>
        <w:rPr>
          <w:rFonts w:cs="Arial"/>
        </w:rPr>
        <w:t xml:space="preserve">gain more information on issues relevant to </w:t>
      </w:r>
      <w:r w:rsidR="00E608F3">
        <w:rPr>
          <w:rFonts w:cs="Arial"/>
        </w:rPr>
        <w:t xml:space="preserve">the </w:t>
      </w:r>
      <w:r>
        <w:rPr>
          <w:rFonts w:cs="Arial"/>
        </w:rPr>
        <w:t>potential users of the system. A list of organisation</w:t>
      </w:r>
      <w:r w:rsidR="00126EEF">
        <w:rPr>
          <w:rFonts w:cs="Arial"/>
        </w:rPr>
        <w:t>s that participated</w:t>
      </w:r>
      <w:r>
        <w:rPr>
          <w:rFonts w:cs="Arial"/>
        </w:rPr>
        <w:t xml:space="preserve"> in these workshops can be found in Appendix A </w:t>
      </w:r>
    </w:p>
    <w:p w:rsidR="00E07470" w:rsidRDefault="00E07470" w:rsidP="00E07470">
      <w:pPr>
        <w:rPr>
          <w:rFonts w:cs="Arial"/>
        </w:rPr>
      </w:pPr>
      <w:r>
        <w:rPr>
          <w:rFonts w:cs="Arial"/>
        </w:rPr>
        <w:t>The first workshop</w:t>
      </w:r>
      <w:r w:rsidR="00E608F3">
        <w:rPr>
          <w:rFonts w:cs="Arial"/>
        </w:rPr>
        <w:t>,</w:t>
      </w:r>
      <w:r>
        <w:rPr>
          <w:rFonts w:cs="Arial"/>
        </w:rPr>
        <w:t xml:space="preserve"> held on 17 April 2019</w:t>
      </w:r>
      <w:r w:rsidR="00E608F3">
        <w:rPr>
          <w:rFonts w:cs="Arial"/>
        </w:rPr>
        <w:t>,</w:t>
      </w:r>
      <w:r>
        <w:rPr>
          <w:rFonts w:cs="Arial"/>
        </w:rPr>
        <w:t xml:space="preserve"> focussed on </w:t>
      </w:r>
      <w:r w:rsidR="00E608F3">
        <w:rPr>
          <w:rFonts w:cs="Arial"/>
        </w:rPr>
        <w:t xml:space="preserve">additional </w:t>
      </w:r>
      <w:r>
        <w:rPr>
          <w:rFonts w:cs="Arial"/>
        </w:rPr>
        <w:t xml:space="preserve">high risk Schedule 4 medicines that should be considered for monitoring and </w:t>
      </w:r>
      <w:r w:rsidR="00E608F3">
        <w:rPr>
          <w:rFonts w:cs="Arial"/>
        </w:rPr>
        <w:t xml:space="preserve">become </w:t>
      </w:r>
      <w:r>
        <w:rPr>
          <w:rFonts w:cs="Arial"/>
        </w:rPr>
        <w:t>reportable. Topics included:</w:t>
      </w:r>
    </w:p>
    <w:p w:rsidR="00E07470" w:rsidRDefault="00E07470" w:rsidP="000174B4">
      <w:pPr>
        <w:pStyle w:val="ListParagraph"/>
        <w:numPr>
          <w:ilvl w:val="0"/>
          <w:numId w:val="39"/>
        </w:numPr>
      </w:pPr>
      <w:r w:rsidRPr="00D93FBE">
        <w:t xml:space="preserve">Factors influencing </w:t>
      </w:r>
      <w:r w:rsidR="00E608F3">
        <w:t xml:space="preserve">the </w:t>
      </w:r>
      <w:r>
        <w:t>designation</w:t>
      </w:r>
      <w:r w:rsidRPr="00D93FBE">
        <w:t xml:space="preserve"> of Schedule 4 medicines </w:t>
      </w:r>
      <w:r>
        <w:t xml:space="preserve">as reportable; </w:t>
      </w:r>
    </w:p>
    <w:p w:rsidR="00E07470" w:rsidRPr="000174B4" w:rsidRDefault="00E07470" w:rsidP="000174B4">
      <w:pPr>
        <w:pStyle w:val="ListParagraph"/>
        <w:numPr>
          <w:ilvl w:val="0"/>
          <w:numId w:val="39"/>
        </w:numPr>
        <w:rPr>
          <w:rFonts w:cs="Arial"/>
        </w:rPr>
      </w:pPr>
      <w:r>
        <w:t>Recommendations for which Schedule 4 medicines should be reported</w:t>
      </w:r>
      <w:r w:rsidR="00E608F3" w:rsidRPr="00E608F3">
        <w:t xml:space="preserve"> </w:t>
      </w:r>
      <w:r w:rsidR="00E608F3">
        <w:t>and monitored;</w:t>
      </w:r>
    </w:p>
    <w:p w:rsidR="00E07470" w:rsidRDefault="009079AD" w:rsidP="000174B4">
      <w:pPr>
        <w:pStyle w:val="ListParagraph"/>
        <w:numPr>
          <w:ilvl w:val="0"/>
          <w:numId w:val="39"/>
        </w:numPr>
      </w:pPr>
      <w:r>
        <w:t>Basis for requiring authorisation to prescribe</w:t>
      </w:r>
      <w:r w:rsidR="00E07470">
        <w:t xml:space="preserve"> Schedule 4 reportable medicines</w:t>
      </w:r>
      <w:r w:rsidR="00E608F3">
        <w:t>;</w:t>
      </w:r>
      <w:r w:rsidR="00E07470">
        <w:t xml:space="preserve"> and</w:t>
      </w:r>
      <w:r w:rsidR="00E608F3" w:rsidRPr="00E608F3">
        <w:t xml:space="preserve"> </w:t>
      </w:r>
    </w:p>
    <w:p w:rsidR="00E07470" w:rsidRDefault="00E07470" w:rsidP="000174B4">
      <w:pPr>
        <w:pStyle w:val="ListParagraph"/>
        <w:numPr>
          <w:ilvl w:val="0"/>
          <w:numId w:val="39"/>
        </w:numPr>
      </w:pPr>
      <w:r w:rsidRPr="0034266A">
        <w:t>Implications f</w:t>
      </w:r>
      <w:r>
        <w:t>or prescribers and pharmacists.</w:t>
      </w:r>
    </w:p>
    <w:p w:rsidR="00E07470" w:rsidRDefault="00E07470" w:rsidP="00E07470">
      <w:pPr>
        <w:rPr>
          <w:shd w:val="clear" w:color="auto" w:fill="FCFCFC"/>
        </w:rPr>
      </w:pPr>
      <w:r>
        <w:rPr>
          <w:rFonts w:cs="Arial"/>
        </w:rPr>
        <w:t>The second workshop held on</w:t>
      </w:r>
      <w:r w:rsidRPr="00092ABB">
        <w:rPr>
          <w:rFonts w:cs="Arial"/>
        </w:rPr>
        <w:t xml:space="preserve"> </w:t>
      </w:r>
      <w:r w:rsidRPr="003E3CC2">
        <w:rPr>
          <w:rFonts w:cs="Arial"/>
        </w:rPr>
        <w:t>16 May 2019</w:t>
      </w:r>
      <w:r>
        <w:rPr>
          <w:rFonts w:cs="Arial"/>
        </w:rPr>
        <w:t xml:space="preserve"> focused on </w:t>
      </w:r>
      <w:r>
        <w:rPr>
          <w:shd w:val="clear" w:color="auto" w:fill="FCFCFC"/>
        </w:rPr>
        <w:t xml:space="preserve">issues such as whether checking </w:t>
      </w:r>
      <w:r w:rsidR="00E608F3">
        <w:rPr>
          <w:shd w:val="clear" w:color="auto" w:fill="FCFCFC"/>
        </w:rPr>
        <w:t xml:space="preserve">a </w:t>
      </w:r>
      <w:r>
        <w:rPr>
          <w:shd w:val="clear" w:color="auto" w:fill="FCFCFC"/>
        </w:rPr>
        <w:t>patient history should be mandat</w:t>
      </w:r>
      <w:r w:rsidR="00E608F3">
        <w:rPr>
          <w:shd w:val="clear" w:color="auto" w:fill="FCFCFC"/>
        </w:rPr>
        <w:t xml:space="preserve">ory for prescribers and pharmacists. It also considered </w:t>
      </w:r>
      <w:r>
        <w:rPr>
          <w:shd w:val="clear" w:color="auto" w:fill="FCFCFC"/>
        </w:rPr>
        <w:t xml:space="preserve">which criteria and patterns of risk </w:t>
      </w:r>
      <w:r w:rsidR="00E608F3">
        <w:rPr>
          <w:shd w:val="clear" w:color="auto" w:fill="FCFCFC"/>
        </w:rPr>
        <w:t xml:space="preserve">were appropriate for </w:t>
      </w:r>
      <w:r>
        <w:rPr>
          <w:shd w:val="clear" w:color="auto" w:fill="FCFCFC"/>
        </w:rPr>
        <w:t>creating patient alert</w:t>
      </w:r>
      <w:r w:rsidR="00E608F3">
        <w:rPr>
          <w:shd w:val="clear" w:color="auto" w:fill="FCFCFC"/>
        </w:rPr>
        <w:t>s</w:t>
      </w:r>
      <w:r>
        <w:rPr>
          <w:shd w:val="clear" w:color="auto" w:fill="FCFCFC"/>
        </w:rPr>
        <w:t>. Topics included:</w:t>
      </w:r>
    </w:p>
    <w:p w:rsidR="00E07470" w:rsidRDefault="00E07470" w:rsidP="00EB3154">
      <w:pPr>
        <w:pStyle w:val="ListParagraph"/>
        <w:numPr>
          <w:ilvl w:val="0"/>
          <w:numId w:val="36"/>
        </w:numPr>
      </w:pPr>
      <w:r>
        <w:t xml:space="preserve">Defining </w:t>
      </w:r>
      <w:r w:rsidRPr="00542608">
        <w:t>doctor shopping</w:t>
      </w:r>
      <w:r>
        <w:t>;</w:t>
      </w:r>
    </w:p>
    <w:p w:rsidR="00EB3154" w:rsidRPr="00542608" w:rsidRDefault="00EB3154" w:rsidP="00EB3154">
      <w:pPr>
        <w:pStyle w:val="ListParagraph"/>
        <w:numPr>
          <w:ilvl w:val="0"/>
          <w:numId w:val="36"/>
        </w:numPr>
      </w:pPr>
      <w:r w:rsidRPr="00EB3154">
        <w:rPr>
          <w:lang w:val="en-US"/>
        </w:rPr>
        <w:t xml:space="preserve">Factors influencing </w:t>
      </w:r>
      <w:r w:rsidR="00E608F3">
        <w:rPr>
          <w:lang w:val="en-US"/>
        </w:rPr>
        <w:t>RTPM</w:t>
      </w:r>
      <w:r w:rsidRPr="00E3552A">
        <w:t xml:space="preserve"> patient alert</w:t>
      </w:r>
      <w:r>
        <w:t>s</w:t>
      </w:r>
      <w:r w:rsidR="00E608F3">
        <w:t>;</w:t>
      </w:r>
      <w:r w:rsidR="007140CC">
        <w:t xml:space="preserve"> and</w:t>
      </w:r>
    </w:p>
    <w:p w:rsidR="00E07470" w:rsidRPr="007140CC" w:rsidRDefault="007140CC" w:rsidP="007140CC">
      <w:pPr>
        <w:pStyle w:val="ListParagraph"/>
        <w:numPr>
          <w:ilvl w:val="0"/>
          <w:numId w:val="36"/>
        </w:numPr>
        <w:tabs>
          <w:tab w:val="left" w:pos="7350"/>
        </w:tabs>
        <w:spacing w:line="360" w:lineRule="auto"/>
        <w:rPr>
          <w:rFonts w:cs="Arial"/>
        </w:rPr>
      </w:pPr>
      <w:r>
        <w:t xml:space="preserve">Exemptions </w:t>
      </w:r>
      <w:r w:rsidRPr="00AC7804">
        <w:t>for checking R</w:t>
      </w:r>
      <w:r w:rsidR="00E608F3">
        <w:t xml:space="preserve">TPM when </w:t>
      </w:r>
      <w:r w:rsidRPr="007140CC">
        <w:rPr>
          <w:lang w:val="en-US"/>
        </w:rPr>
        <w:t>mandated</w:t>
      </w:r>
      <w:r w:rsidR="00E608F3">
        <w:rPr>
          <w:lang w:val="en-US"/>
        </w:rPr>
        <w:t>.</w:t>
      </w:r>
    </w:p>
    <w:p w:rsidR="00E07470" w:rsidRDefault="00E07470" w:rsidP="00E07470">
      <w:pPr>
        <w:rPr>
          <w:shd w:val="clear" w:color="auto" w:fill="FCFCFC"/>
        </w:rPr>
      </w:pPr>
      <w:r>
        <w:rPr>
          <w:rFonts w:cs="Arial"/>
        </w:rPr>
        <w:t xml:space="preserve">The third workshop held on </w:t>
      </w:r>
      <w:r w:rsidRPr="003E3CC2">
        <w:rPr>
          <w:rFonts w:cs="Arial"/>
        </w:rPr>
        <w:t>19 June 2019</w:t>
      </w:r>
      <w:r>
        <w:rPr>
          <w:rFonts w:cs="Arial"/>
        </w:rPr>
        <w:t xml:space="preserve"> focused on other key aspects of the system that impact on the clinical practice of the health professional, resources and support for prescribers and pharmacists and transition periods. Topics</w:t>
      </w:r>
      <w:r>
        <w:rPr>
          <w:shd w:val="clear" w:color="auto" w:fill="FCFCFC"/>
        </w:rPr>
        <w:t xml:space="preserve"> included:</w:t>
      </w:r>
    </w:p>
    <w:p w:rsidR="00E07470" w:rsidRPr="00446B88" w:rsidRDefault="00E07470" w:rsidP="00E07470">
      <w:pPr>
        <w:numPr>
          <w:ilvl w:val="0"/>
          <w:numId w:val="10"/>
        </w:numPr>
        <w:spacing w:after="0"/>
        <w:rPr>
          <w:lang w:val="en-US"/>
        </w:rPr>
      </w:pPr>
      <w:r w:rsidRPr="00446B88">
        <w:rPr>
          <w:lang w:val="en-US"/>
        </w:rPr>
        <w:t>Role of Department of Health in informing prescribers, pharmacists and consumers;</w:t>
      </w:r>
    </w:p>
    <w:p w:rsidR="00E07470" w:rsidRPr="00446B88" w:rsidRDefault="00AF6087" w:rsidP="00E07470">
      <w:pPr>
        <w:numPr>
          <w:ilvl w:val="0"/>
          <w:numId w:val="10"/>
        </w:numPr>
        <w:spacing w:after="0"/>
        <w:rPr>
          <w:lang w:val="en-US"/>
        </w:rPr>
      </w:pPr>
      <w:r>
        <w:rPr>
          <w:lang w:val="en-US"/>
        </w:rPr>
        <w:t>Information for consumers;</w:t>
      </w:r>
    </w:p>
    <w:p w:rsidR="00E07470" w:rsidRPr="00446B88" w:rsidRDefault="00E07470" w:rsidP="00E07470">
      <w:pPr>
        <w:numPr>
          <w:ilvl w:val="0"/>
          <w:numId w:val="10"/>
        </w:numPr>
        <w:spacing w:after="0"/>
        <w:rPr>
          <w:rFonts w:cs="Arial"/>
        </w:rPr>
      </w:pPr>
      <w:r w:rsidRPr="00446B88">
        <w:rPr>
          <w:lang w:val="en-US"/>
        </w:rPr>
        <w:t>Australian Health Practitioner Regulation Agency (AHPRA) access to R</w:t>
      </w:r>
      <w:r w:rsidR="00E608F3">
        <w:rPr>
          <w:lang w:val="en-US"/>
        </w:rPr>
        <w:t>TPM</w:t>
      </w:r>
      <w:r w:rsidR="00AF6087">
        <w:rPr>
          <w:lang w:val="en-US"/>
        </w:rPr>
        <w:t xml:space="preserve"> data;</w:t>
      </w:r>
    </w:p>
    <w:p w:rsidR="00E07470" w:rsidRPr="00446B88" w:rsidRDefault="00E608F3" w:rsidP="00E07470">
      <w:pPr>
        <w:numPr>
          <w:ilvl w:val="0"/>
          <w:numId w:val="10"/>
        </w:numPr>
        <w:spacing w:after="0"/>
      </w:pPr>
      <w:r>
        <w:t xml:space="preserve">Measurement of efficacy of </w:t>
      </w:r>
      <w:r w:rsidR="00E07470" w:rsidRPr="00446B88">
        <w:t>R</w:t>
      </w:r>
      <w:r>
        <w:t>TPM</w:t>
      </w:r>
      <w:r w:rsidR="00E07470" w:rsidRPr="00446B88">
        <w:t>;</w:t>
      </w:r>
    </w:p>
    <w:p w:rsidR="00E07470" w:rsidRPr="00446B88" w:rsidRDefault="00E07470" w:rsidP="00E07470">
      <w:pPr>
        <w:numPr>
          <w:ilvl w:val="0"/>
          <w:numId w:val="10"/>
        </w:numPr>
        <w:spacing w:after="0"/>
      </w:pPr>
      <w:r w:rsidRPr="00446B88">
        <w:t xml:space="preserve">Transition periods </w:t>
      </w:r>
      <w:r w:rsidR="00E608F3">
        <w:t xml:space="preserve">for implementation and roll out; </w:t>
      </w:r>
      <w:r w:rsidRPr="00446B88">
        <w:t>and</w:t>
      </w:r>
    </w:p>
    <w:p w:rsidR="00E608F3" w:rsidRDefault="00E07470" w:rsidP="008E6F45">
      <w:pPr>
        <w:numPr>
          <w:ilvl w:val="0"/>
          <w:numId w:val="10"/>
        </w:numPr>
        <w:spacing w:after="0"/>
      </w:pPr>
      <w:r w:rsidRPr="00446B88">
        <w:t>What comes next</w:t>
      </w:r>
      <w:r w:rsidR="00E608F3">
        <w:t>?</w:t>
      </w:r>
      <w:r w:rsidR="00E608F3">
        <w:br w:type="page"/>
      </w:r>
    </w:p>
    <w:p w:rsidR="009C1C29" w:rsidRDefault="00E07470" w:rsidP="00BF102F">
      <w:pPr>
        <w:pStyle w:val="Heading1"/>
        <w:rPr>
          <w:rFonts w:eastAsia="Calibri"/>
        </w:rPr>
      </w:pPr>
      <w:bookmarkStart w:id="8" w:name="_Toc17973094"/>
      <w:bookmarkStart w:id="9" w:name="_Toc18414674"/>
      <w:r>
        <w:rPr>
          <w:rFonts w:eastAsia="Calibri"/>
        </w:rPr>
        <w:lastRenderedPageBreak/>
        <w:t>Workshop One</w:t>
      </w:r>
      <w:bookmarkEnd w:id="9"/>
    </w:p>
    <w:p w:rsidR="00E07470" w:rsidRDefault="00052FE3" w:rsidP="009C1C29">
      <w:pPr>
        <w:pStyle w:val="Heading2"/>
        <w:rPr>
          <w:rFonts w:eastAsia="Calibri"/>
        </w:rPr>
      </w:pPr>
      <w:bookmarkStart w:id="10" w:name="_Toc18414675"/>
      <w:r>
        <w:rPr>
          <w:rFonts w:eastAsia="Calibri"/>
        </w:rPr>
        <w:t>Factors for r</w:t>
      </w:r>
      <w:r w:rsidR="00E07470">
        <w:rPr>
          <w:rFonts w:eastAsia="Calibri"/>
        </w:rPr>
        <w:t xml:space="preserve">eportable </w:t>
      </w:r>
      <w:r w:rsidR="00E07470" w:rsidRPr="00B840A3">
        <w:rPr>
          <w:rFonts w:eastAsia="Calibri"/>
        </w:rPr>
        <w:t>Schedule 4 medicines</w:t>
      </w:r>
      <w:bookmarkEnd w:id="8"/>
      <w:bookmarkEnd w:id="10"/>
    </w:p>
    <w:p w:rsidR="00E07470" w:rsidRDefault="00E07470" w:rsidP="003B4DE3">
      <w:r w:rsidRPr="004E6161">
        <w:t xml:space="preserve">Workshop participants were asked to rank eight </w:t>
      </w:r>
      <w:r w:rsidR="00052FE3">
        <w:t xml:space="preserve">identified </w:t>
      </w:r>
      <w:r w:rsidRPr="004E6161">
        <w:t xml:space="preserve">factors </w:t>
      </w:r>
      <w:r w:rsidR="00052FE3">
        <w:t xml:space="preserve">that might </w:t>
      </w:r>
      <w:r w:rsidRPr="004E6161">
        <w:t>influenc</w:t>
      </w:r>
      <w:r w:rsidR="00052FE3">
        <w:t xml:space="preserve">e </w:t>
      </w:r>
      <w:r w:rsidR="00C718F7">
        <w:t xml:space="preserve">the </w:t>
      </w:r>
      <w:r w:rsidRPr="004E6161">
        <w:t xml:space="preserve">designation of </w:t>
      </w:r>
      <w:r w:rsidR="00C718F7">
        <w:t xml:space="preserve">a </w:t>
      </w:r>
      <w:r w:rsidRPr="004E6161">
        <w:t xml:space="preserve">Schedule 4 medicine as </w:t>
      </w:r>
      <w:r w:rsidR="00C718F7">
        <w:t xml:space="preserve">a </w:t>
      </w:r>
      <w:r>
        <w:t>reportable</w:t>
      </w:r>
      <w:r w:rsidR="00C718F7">
        <w:t xml:space="preserve"> item</w:t>
      </w:r>
      <w:r w:rsidR="00E608F3">
        <w:t>.</w:t>
      </w:r>
    </w:p>
    <w:p w:rsidR="00E07470" w:rsidRDefault="00E07470" w:rsidP="008E6F45">
      <w:pPr>
        <w:jc w:val="center"/>
      </w:pPr>
      <w:r>
        <w:rPr>
          <w:b/>
          <w:noProof/>
          <w:lang w:eastAsia="en-AU"/>
        </w:rPr>
        <w:drawing>
          <wp:inline distT="0" distB="0" distL="0" distR="0" wp14:anchorId="565A6980" wp14:editId="658E3E45">
            <wp:extent cx="5721350" cy="2743200"/>
            <wp:effectExtent l="0" t="0" r="12700" b="1905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7470" w:rsidRDefault="00E07470" w:rsidP="00E07470">
      <w:pPr>
        <w:pStyle w:val="ListParagraph"/>
        <w:spacing w:after="100" w:line="276" w:lineRule="auto"/>
        <w:ind w:left="0"/>
        <w:jc w:val="both"/>
        <w:rPr>
          <w:rFonts w:cs="Arial"/>
        </w:rPr>
      </w:pPr>
      <w:r w:rsidRPr="008410C8">
        <w:rPr>
          <w:rFonts w:cs="Arial"/>
        </w:rPr>
        <w:t>Th</w:t>
      </w:r>
      <w:r>
        <w:rPr>
          <w:rFonts w:cs="Arial"/>
        </w:rPr>
        <w:t xml:space="preserve">e results </w:t>
      </w:r>
      <w:r w:rsidR="000174B4">
        <w:rPr>
          <w:rFonts w:cs="Arial"/>
        </w:rPr>
        <w:t xml:space="preserve">outline </w:t>
      </w:r>
      <w:r w:rsidRPr="008410C8">
        <w:rPr>
          <w:rFonts w:cs="Arial"/>
        </w:rPr>
        <w:t xml:space="preserve">the factors that workshop participants considered </w:t>
      </w:r>
      <w:r w:rsidR="000174B4">
        <w:rPr>
          <w:rFonts w:cs="Arial"/>
        </w:rPr>
        <w:t xml:space="preserve">most </w:t>
      </w:r>
      <w:r w:rsidRPr="008410C8">
        <w:rPr>
          <w:rFonts w:cs="Arial"/>
        </w:rPr>
        <w:t xml:space="preserve">important </w:t>
      </w:r>
      <w:r w:rsidR="000174B4">
        <w:rPr>
          <w:rFonts w:cs="Arial"/>
        </w:rPr>
        <w:t xml:space="preserve">when considering </w:t>
      </w:r>
      <w:r w:rsidRPr="008410C8">
        <w:rPr>
          <w:rFonts w:cs="Arial"/>
        </w:rPr>
        <w:t>whether a Schedule 4 medicine should be reported</w:t>
      </w:r>
      <w:r w:rsidR="000174B4">
        <w:rPr>
          <w:rFonts w:cs="Arial"/>
        </w:rPr>
        <w:t xml:space="preserve"> and</w:t>
      </w:r>
      <w:r w:rsidRPr="008410C8">
        <w:rPr>
          <w:rFonts w:cs="Arial"/>
        </w:rPr>
        <w:t xml:space="preserve"> </w:t>
      </w:r>
      <w:r w:rsidR="000174B4" w:rsidRPr="008410C8">
        <w:rPr>
          <w:rFonts w:cs="Arial"/>
        </w:rPr>
        <w:t>monitored</w:t>
      </w:r>
      <w:r w:rsidR="000174B4">
        <w:rPr>
          <w:rFonts w:cs="Arial"/>
        </w:rPr>
        <w:t xml:space="preserve"> </w:t>
      </w:r>
      <w:r w:rsidR="003B4DE3">
        <w:rPr>
          <w:rFonts w:cs="Arial"/>
        </w:rPr>
        <w:t>to be</w:t>
      </w:r>
      <w:r>
        <w:rPr>
          <w:rFonts w:cs="Arial"/>
        </w:rPr>
        <w:t>:</w:t>
      </w:r>
    </w:p>
    <w:p w:rsidR="00E07470" w:rsidRPr="00AC1CC3" w:rsidRDefault="00E07470" w:rsidP="00AC1CC3">
      <w:pPr>
        <w:pStyle w:val="ListParagraph"/>
        <w:numPr>
          <w:ilvl w:val="0"/>
          <w:numId w:val="30"/>
        </w:numPr>
        <w:rPr>
          <w:lang w:val="en-US"/>
        </w:rPr>
      </w:pPr>
      <w:r w:rsidRPr="00AC1CC3">
        <w:rPr>
          <w:lang w:val="en-US"/>
        </w:rPr>
        <w:t>the current harm the medicine confers</w:t>
      </w:r>
      <w:r w:rsidR="000174B4">
        <w:rPr>
          <w:lang w:val="en-US"/>
        </w:rPr>
        <w:t>,</w:t>
      </w:r>
      <w:r w:rsidRPr="00AC1CC3">
        <w:rPr>
          <w:lang w:val="en-US"/>
        </w:rPr>
        <w:t xml:space="preserve"> e.g. morbidity and mortality;</w:t>
      </w:r>
    </w:p>
    <w:p w:rsidR="00E07470" w:rsidRPr="00AC1CC3" w:rsidRDefault="00E07470" w:rsidP="00AC1CC3">
      <w:pPr>
        <w:pStyle w:val="ListParagraph"/>
        <w:numPr>
          <w:ilvl w:val="0"/>
          <w:numId w:val="30"/>
        </w:numPr>
        <w:rPr>
          <w:lang w:val="en-US"/>
        </w:rPr>
      </w:pPr>
      <w:r w:rsidRPr="00AC1CC3">
        <w:rPr>
          <w:lang w:val="en-US"/>
        </w:rPr>
        <w:t>risk of abus</w:t>
      </w:r>
      <w:r w:rsidR="00C718F7">
        <w:rPr>
          <w:lang w:val="en-US"/>
        </w:rPr>
        <w:t>e</w:t>
      </w:r>
      <w:r w:rsidRPr="00AC1CC3">
        <w:rPr>
          <w:lang w:val="en-US"/>
        </w:rPr>
        <w:t>;</w:t>
      </w:r>
    </w:p>
    <w:p w:rsidR="00E07470" w:rsidRPr="00AC1CC3" w:rsidRDefault="00E07470" w:rsidP="00AC1CC3">
      <w:pPr>
        <w:pStyle w:val="ListParagraph"/>
        <w:numPr>
          <w:ilvl w:val="0"/>
          <w:numId w:val="30"/>
        </w:numPr>
        <w:rPr>
          <w:lang w:val="en-US"/>
        </w:rPr>
      </w:pPr>
      <w:r w:rsidRPr="00AC1CC3">
        <w:rPr>
          <w:lang w:val="en-US"/>
        </w:rPr>
        <w:t>risk of dependence</w:t>
      </w:r>
      <w:r w:rsidR="000174B4">
        <w:rPr>
          <w:lang w:val="en-US"/>
        </w:rPr>
        <w:t>;</w:t>
      </w:r>
      <w:r w:rsidRPr="00AC1CC3">
        <w:rPr>
          <w:lang w:val="en-US"/>
        </w:rPr>
        <w:t xml:space="preserve"> and</w:t>
      </w:r>
    </w:p>
    <w:p w:rsidR="003B4DE3" w:rsidRPr="003B4DE3" w:rsidRDefault="00C718F7" w:rsidP="008E6F45">
      <w:pPr>
        <w:pStyle w:val="ListParagraph"/>
        <w:numPr>
          <w:ilvl w:val="0"/>
          <w:numId w:val="30"/>
        </w:numPr>
        <w:spacing w:after="0"/>
      </w:pPr>
      <w:r>
        <w:rPr>
          <w:lang w:val="en-US"/>
        </w:rPr>
        <w:t xml:space="preserve">evidence of increased </w:t>
      </w:r>
      <w:r w:rsidR="00E07470" w:rsidRPr="008E6F45">
        <w:rPr>
          <w:lang w:val="en-US"/>
        </w:rPr>
        <w:t>abuse and misuse of the Schedule 4 medicine</w:t>
      </w:r>
      <w:r w:rsidR="000174B4" w:rsidRPr="008E6F45">
        <w:rPr>
          <w:lang w:val="en-US"/>
        </w:rPr>
        <w:t>.</w:t>
      </w:r>
    </w:p>
    <w:p w:rsidR="00B40A18" w:rsidRDefault="00052FE3" w:rsidP="000174B4">
      <w:pPr>
        <w:pStyle w:val="Heading2"/>
        <w:rPr>
          <w:rFonts w:eastAsia="Calibri"/>
        </w:rPr>
      </w:pPr>
      <w:bookmarkStart w:id="11" w:name="_Toc18414676"/>
      <w:r>
        <w:rPr>
          <w:rFonts w:eastAsia="Calibri"/>
        </w:rPr>
        <w:t>Specific S</w:t>
      </w:r>
      <w:r w:rsidR="00B40A18" w:rsidRPr="00B840A3">
        <w:rPr>
          <w:rFonts w:eastAsia="Calibri"/>
        </w:rPr>
        <w:t>chedule 4 medicines</w:t>
      </w:r>
      <w:r w:rsidR="00B40A18">
        <w:rPr>
          <w:rFonts w:eastAsia="Calibri"/>
        </w:rPr>
        <w:t xml:space="preserve"> </w:t>
      </w:r>
      <w:r>
        <w:rPr>
          <w:rFonts w:eastAsia="Calibri"/>
        </w:rPr>
        <w:t xml:space="preserve">to </w:t>
      </w:r>
      <w:r w:rsidR="00B40A18" w:rsidRPr="00B840A3">
        <w:rPr>
          <w:rFonts w:eastAsia="Calibri"/>
        </w:rPr>
        <w:t>be reported</w:t>
      </w:r>
      <w:bookmarkEnd w:id="11"/>
    </w:p>
    <w:p w:rsidR="00B40A18" w:rsidRPr="00052FE3" w:rsidRDefault="00B40A18" w:rsidP="00B40A18">
      <w:pPr>
        <w:spacing w:line="276" w:lineRule="auto"/>
        <w:jc w:val="both"/>
      </w:pPr>
      <w:r w:rsidRPr="004E6161">
        <w:t xml:space="preserve">Workshop participants were asked to rank </w:t>
      </w:r>
      <w:r w:rsidR="00C718F7">
        <w:t>types of specific S</w:t>
      </w:r>
      <w:r w:rsidRPr="004E6161">
        <w:t xml:space="preserve">chedule 4 medicines in order of priority </w:t>
      </w:r>
      <w:r w:rsidRPr="00052FE3">
        <w:t xml:space="preserve">for </w:t>
      </w:r>
      <w:r w:rsidR="00052FE3" w:rsidRPr="00052FE3">
        <w:t xml:space="preserve">inclusion in RTPM </w:t>
      </w:r>
      <w:r w:rsidRPr="00052FE3">
        <w:t>reporting</w:t>
      </w:r>
      <w:r w:rsidR="008E6F45" w:rsidRPr="00052FE3">
        <w:t xml:space="preserve"> and monitoring</w:t>
      </w:r>
      <w:r w:rsidRPr="00052FE3">
        <w:t>.</w:t>
      </w:r>
    </w:p>
    <w:p w:rsidR="009205F3" w:rsidRDefault="007C0D35" w:rsidP="008E6F45">
      <w:pPr>
        <w:jc w:val="center"/>
        <w:rPr>
          <w:sz w:val="16"/>
        </w:rPr>
      </w:pPr>
      <w:r>
        <w:rPr>
          <w:noProof/>
          <w:lang w:eastAsia="en-AU"/>
        </w:rPr>
        <mc:AlternateContent>
          <mc:Choice Requires="wps">
            <w:drawing>
              <wp:anchor distT="0" distB="0" distL="114300" distR="114300" simplePos="0" relativeHeight="251663871" behindDoc="0" locked="0" layoutInCell="1" allowOverlap="1" wp14:anchorId="3E4EB05C" wp14:editId="6BD09CB3">
                <wp:simplePos x="0" y="0"/>
                <wp:positionH relativeFrom="column">
                  <wp:posOffset>2955290</wp:posOffset>
                </wp:positionH>
                <wp:positionV relativeFrom="paragraph">
                  <wp:posOffset>2280920</wp:posOffset>
                </wp:positionV>
                <wp:extent cx="396000" cy="2159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0049B4" w:rsidRDefault="00312C07" w:rsidP="007C0D35">
                            <w:pPr>
                              <w:jc w:val="both"/>
                            </w:pPr>
                            <w:r w:rsidRPr="007C0D35">
                              <w:rPr>
                                <w:sz w:val="20"/>
                              </w:rPr>
                              <w:t>7t</w:t>
                            </w:r>
                            <w:r w:rsidRPr="000049B4">
                              <w:rPr>
                                <w:sz w:val="20"/>
                              </w:rPr>
                              <w: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32.7pt;margin-top:179.6pt;width:31.2pt;height:17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thhQIAABc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" stroked="f">
                <v:textbox>
                  <w:txbxContent>
                    <w:p w:rsidR="00312C07" w:rsidRPr="000049B4" w:rsidRDefault="00312C07" w:rsidP="007C0D35">
                      <w:pPr>
                        <w:jc w:val="both"/>
                      </w:pPr>
                      <w:r w:rsidRPr="007C0D35">
                        <w:rPr>
                          <w:sz w:val="20"/>
                        </w:rPr>
                        <w:t>7t</w:t>
                      </w:r>
                      <w:r w:rsidRPr="000049B4">
                        <w:rPr>
                          <w:sz w:val="20"/>
                        </w:rPr>
                        <w:t>h</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671D16FE" wp14:editId="6207F1ED">
                <wp:simplePos x="0" y="0"/>
                <wp:positionH relativeFrom="column">
                  <wp:posOffset>3212465</wp:posOffset>
                </wp:positionH>
                <wp:positionV relativeFrom="paragraph">
                  <wp:posOffset>1271270</wp:posOffset>
                </wp:positionV>
                <wp:extent cx="396000" cy="215900"/>
                <wp:effectExtent l="0" t="0" r="444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5C6E84" w:rsidRDefault="00312C07">
                            <w:pPr>
                              <w:rPr>
                                <w:sz w:val="12"/>
                              </w:rPr>
                            </w:pPr>
                            <w:r w:rsidRPr="000049B4">
                              <w:rPr>
                                <w:sz w:val="20"/>
                              </w:rPr>
                              <w:t>4th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52.95pt;margin-top:100.1pt;width:31.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fk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" stroked="f">
                <v:textbox>
                  <w:txbxContent>
                    <w:p w:rsidR="00312C07" w:rsidRPr="005C6E84" w:rsidRDefault="00312C07">
                      <w:pPr>
                        <w:rPr>
                          <w:sz w:val="12"/>
                        </w:rPr>
                      </w:pPr>
                      <w:r w:rsidRPr="000049B4">
                        <w:rPr>
                          <w:sz w:val="20"/>
                        </w:rPr>
                        <w:t>4th</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424C0DD7" wp14:editId="7ABBB73C">
                <wp:simplePos x="0" y="0"/>
                <wp:positionH relativeFrom="column">
                  <wp:posOffset>3049905</wp:posOffset>
                </wp:positionH>
                <wp:positionV relativeFrom="paragraph">
                  <wp:posOffset>1918970</wp:posOffset>
                </wp:positionV>
                <wp:extent cx="396000" cy="21600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6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Default="00312C07" w:rsidP="007E1644">
                            <w:r w:rsidRPr="000049B4">
                              <w:rPr>
                                <w:sz w:val="20"/>
                              </w:rPr>
                              <w:t>6th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40.15pt;margin-top:151.1pt;width:31.2pt;height:1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" stroked="f">
                <v:textbox>
                  <w:txbxContent>
                    <w:p w:rsidR="00312C07" w:rsidRDefault="00312C07" w:rsidP="007E1644">
                      <w:r w:rsidRPr="000049B4">
                        <w:rPr>
                          <w:sz w:val="20"/>
                        </w:rPr>
                        <w:t>6th</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99F76BB" wp14:editId="059AAEB7">
                <wp:simplePos x="0" y="0"/>
                <wp:positionH relativeFrom="column">
                  <wp:posOffset>3107690</wp:posOffset>
                </wp:positionH>
                <wp:positionV relativeFrom="paragraph">
                  <wp:posOffset>1585595</wp:posOffset>
                </wp:positionV>
                <wp:extent cx="360000" cy="215900"/>
                <wp:effectExtent l="0"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5C6E84" w:rsidRDefault="00312C07" w:rsidP="007E1644">
                            <w:pPr>
                              <w:rPr>
                                <w:sz w:val="12"/>
                              </w:rPr>
                            </w:pPr>
                            <w:r w:rsidRPr="005C6E84">
                              <w:rPr>
                                <w:sz w:val="16"/>
                              </w:rPr>
                              <w:t>5th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244.7pt;margin-top:124.85pt;width:28.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" stroked="f">
                <v:textbox>
                  <w:txbxContent>
                    <w:p w:rsidR="00312C07" w:rsidRPr="005C6E84" w:rsidRDefault="00312C07" w:rsidP="007E1644">
                      <w:pPr>
                        <w:rPr>
                          <w:sz w:val="12"/>
                        </w:rPr>
                      </w:pPr>
                      <w:r w:rsidRPr="005C6E84">
                        <w:rPr>
                          <w:sz w:val="16"/>
                        </w:rPr>
                        <w:t>5th</w:t>
                      </w:r>
                    </w:p>
                  </w:txbxContent>
                </v:textbox>
              </v:shape>
            </w:pict>
          </mc:Fallback>
        </mc:AlternateContent>
      </w:r>
      <w:r w:rsidR="00595B10">
        <w:rPr>
          <w:noProof/>
          <w:lang w:eastAsia="en-AU"/>
        </w:rPr>
        <mc:AlternateContent>
          <mc:Choice Requires="wps">
            <w:drawing>
              <wp:anchor distT="0" distB="0" distL="114300" distR="114300" simplePos="0" relativeHeight="251663360" behindDoc="0" locked="0" layoutInCell="1" allowOverlap="1" wp14:anchorId="2A7DA3AD" wp14:editId="30FCEBC8">
                <wp:simplePos x="0" y="0"/>
                <wp:positionH relativeFrom="column">
                  <wp:posOffset>3269615</wp:posOffset>
                </wp:positionH>
                <wp:positionV relativeFrom="paragraph">
                  <wp:posOffset>905510</wp:posOffset>
                </wp:positionV>
                <wp:extent cx="396000" cy="21600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5C6E84" w:rsidRDefault="00312C07" w:rsidP="007E1644">
                            <w:pPr>
                              <w:rPr>
                                <w:sz w:val="20"/>
                              </w:rPr>
                            </w:pPr>
                            <w:r w:rsidRPr="000049B4">
                              <w:rPr>
                                <w:sz w:val="20"/>
                              </w:rPr>
                              <w:t>3rd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57.45pt;margin-top:71.3pt;width:31.2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" stroked="f">
                <v:textbox>
                  <w:txbxContent>
                    <w:p w:rsidR="00312C07" w:rsidRPr="005C6E84" w:rsidRDefault="00312C07" w:rsidP="007E1644">
                      <w:pPr>
                        <w:rPr>
                          <w:sz w:val="20"/>
                        </w:rPr>
                      </w:pPr>
                      <w:r w:rsidRPr="000049B4">
                        <w:rPr>
                          <w:sz w:val="20"/>
                        </w:rPr>
                        <w:t>3rd</w:t>
                      </w:r>
                    </w:p>
                  </w:txbxContent>
                </v:textbox>
              </v:shape>
            </w:pict>
          </mc:Fallback>
        </mc:AlternateContent>
      </w:r>
      <w:r w:rsidR="009205F3">
        <w:rPr>
          <w:noProof/>
          <w:lang w:eastAsia="en-AU"/>
        </w:rPr>
        <mc:AlternateContent>
          <mc:Choice Requires="wps">
            <w:drawing>
              <wp:anchor distT="0" distB="0" distL="114300" distR="114300" simplePos="0" relativeHeight="251660288" behindDoc="0" locked="0" layoutInCell="1" allowOverlap="1" wp14:anchorId="71EE1984" wp14:editId="5655D031">
                <wp:simplePos x="0" y="0"/>
                <wp:positionH relativeFrom="column">
                  <wp:posOffset>4155440</wp:posOffset>
                </wp:positionH>
                <wp:positionV relativeFrom="paragraph">
                  <wp:posOffset>238760</wp:posOffset>
                </wp:positionV>
                <wp:extent cx="371475" cy="2159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0049B4" w:rsidRDefault="00312C07" w:rsidP="007E1644">
                            <w:pPr>
                              <w:rPr>
                                <w:sz w:val="20"/>
                              </w:rPr>
                            </w:pPr>
                            <w:r w:rsidRPr="005C6E84">
                              <w:rPr>
                                <w:sz w:val="16"/>
                              </w:rPr>
                              <w:t>1st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27.2pt;margin-top:18.8pt;width:29.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" stroked="f">
                <v:textbox>
                  <w:txbxContent>
                    <w:p w:rsidR="00312C07" w:rsidRPr="000049B4" w:rsidRDefault="00312C07" w:rsidP="007E1644">
                      <w:pPr>
                        <w:rPr>
                          <w:sz w:val="20"/>
                        </w:rPr>
                      </w:pPr>
                      <w:r w:rsidRPr="005C6E84">
                        <w:rPr>
                          <w:sz w:val="16"/>
                        </w:rPr>
                        <w:t>1st</w:t>
                      </w:r>
                    </w:p>
                  </w:txbxContent>
                </v:textbox>
              </v:shape>
            </w:pict>
          </mc:Fallback>
        </mc:AlternateContent>
      </w:r>
      <w:r w:rsidR="009205F3">
        <w:rPr>
          <w:noProof/>
          <w:lang w:eastAsia="en-AU"/>
        </w:rPr>
        <mc:AlternateContent>
          <mc:Choice Requires="wps">
            <w:drawing>
              <wp:anchor distT="0" distB="0" distL="114300" distR="114300" simplePos="0" relativeHeight="251661312" behindDoc="0" locked="0" layoutInCell="1" allowOverlap="1" wp14:anchorId="3520CF94" wp14:editId="46C82A32">
                <wp:simplePos x="0" y="0"/>
                <wp:positionH relativeFrom="column">
                  <wp:posOffset>3564890</wp:posOffset>
                </wp:positionH>
                <wp:positionV relativeFrom="paragraph">
                  <wp:posOffset>581660</wp:posOffset>
                </wp:positionV>
                <wp:extent cx="360000" cy="215900"/>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07" w:rsidRPr="000049B4" w:rsidRDefault="00312C07" w:rsidP="007E1644">
                            <w:pPr>
                              <w:rPr>
                                <w:sz w:val="20"/>
                              </w:rPr>
                            </w:pPr>
                            <w:r w:rsidRPr="005C6E84">
                              <w:rPr>
                                <w:sz w:val="16"/>
                              </w:rPr>
                              <w:t>2nd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80.7pt;margin-top:45.8pt;width:28.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" stroked="f">
                <v:textbox>
                  <w:txbxContent>
                    <w:p w:rsidR="00312C07" w:rsidRPr="000049B4" w:rsidRDefault="00312C07" w:rsidP="007E1644">
                      <w:pPr>
                        <w:rPr>
                          <w:sz w:val="20"/>
                        </w:rPr>
                      </w:pPr>
                      <w:r w:rsidRPr="005C6E84">
                        <w:rPr>
                          <w:sz w:val="16"/>
                        </w:rPr>
                        <w:t>2nd</w:t>
                      </w:r>
                    </w:p>
                  </w:txbxContent>
                </v:textbox>
              </v:shape>
            </w:pict>
          </mc:Fallback>
        </mc:AlternateContent>
      </w:r>
      <w:r w:rsidR="00B40A18">
        <w:rPr>
          <w:noProof/>
          <w:lang w:eastAsia="en-AU"/>
        </w:rPr>
        <w:drawing>
          <wp:inline distT="0" distB="0" distL="0" distR="0" wp14:anchorId="08079A4E" wp14:editId="26B76985">
            <wp:extent cx="4543425" cy="2686050"/>
            <wp:effectExtent l="0" t="0" r="952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6F45" w:rsidRDefault="009205F3" w:rsidP="008E6F45">
      <w:pPr>
        <w:ind w:left="1440" w:firstLine="720"/>
        <w:rPr>
          <w:noProof/>
          <w:sz w:val="20"/>
          <w:lang w:eastAsia="en-AU"/>
        </w:rPr>
      </w:pPr>
      <w:r w:rsidRPr="006D4C2A">
        <w:rPr>
          <w:noProof/>
          <w:sz w:val="20"/>
          <w:lang w:eastAsia="en-AU"/>
        </w:rPr>
        <w:t>S8</w:t>
      </w:r>
      <w:r w:rsidR="000174B4">
        <w:rPr>
          <w:noProof/>
          <w:sz w:val="20"/>
          <w:lang w:eastAsia="en-AU"/>
        </w:rPr>
        <w:t xml:space="preserve"> =</w:t>
      </w:r>
      <w:r w:rsidRPr="006D4C2A">
        <w:rPr>
          <w:noProof/>
          <w:sz w:val="20"/>
          <w:lang w:eastAsia="en-AU"/>
        </w:rPr>
        <w:t xml:space="preserve"> Sche</w:t>
      </w:r>
      <w:r w:rsidR="008E6F45">
        <w:rPr>
          <w:noProof/>
          <w:sz w:val="20"/>
          <w:lang w:eastAsia="en-AU"/>
        </w:rPr>
        <w:t>d</w:t>
      </w:r>
      <w:r w:rsidRPr="006D4C2A">
        <w:rPr>
          <w:noProof/>
          <w:sz w:val="20"/>
          <w:lang w:eastAsia="en-AU"/>
        </w:rPr>
        <w:t>ule 8 medicine</w:t>
      </w:r>
    </w:p>
    <w:p w:rsidR="009205F3" w:rsidRDefault="009205F3" w:rsidP="008E6F45">
      <w:pPr>
        <w:ind w:left="1440" w:firstLine="720"/>
        <w:rPr>
          <w:rFonts w:cs="Arial"/>
          <w:sz w:val="20"/>
          <w:shd w:val="clear" w:color="auto" w:fill="FFFFFF"/>
        </w:rPr>
      </w:pPr>
      <w:r w:rsidRPr="006D4C2A">
        <w:rPr>
          <w:noProof/>
          <w:sz w:val="20"/>
          <w:lang w:eastAsia="en-AU"/>
        </w:rPr>
        <w:t>z-drugs</w:t>
      </w:r>
      <w:r w:rsidR="000174B4">
        <w:rPr>
          <w:noProof/>
          <w:sz w:val="20"/>
          <w:lang w:eastAsia="en-AU"/>
        </w:rPr>
        <w:t xml:space="preserve"> =</w:t>
      </w:r>
      <w:r w:rsidRPr="006D4C2A">
        <w:rPr>
          <w:noProof/>
          <w:sz w:val="20"/>
          <w:lang w:eastAsia="en-AU"/>
        </w:rPr>
        <w:t xml:space="preserve"> </w:t>
      </w:r>
      <w:r w:rsidRPr="006D4C2A">
        <w:rPr>
          <w:rFonts w:cs="Arial"/>
          <w:sz w:val="20"/>
          <w:shd w:val="clear" w:color="auto" w:fill="FFFFFF"/>
        </w:rPr>
        <w:t>zolpidem, zopiclone and zaleplon</w:t>
      </w:r>
      <w:bookmarkStart w:id="12" w:name="_GoBack"/>
      <w:bookmarkEnd w:id="12"/>
    </w:p>
    <w:p w:rsidR="009205F3" w:rsidRDefault="009205F3" w:rsidP="008E6F45">
      <w:r w:rsidRPr="008410C8">
        <w:lastRenderedPageBreak/>
        <w:t xml:space="preserve">The </w:t>
      </w:r>
      <w:r>
        <w:t>results indicate that workshop participants consider</w:t>
      </w:r>
      <w:r w:rsidR="008E6F45">
        <w:t>ed</w:t>
      </w:r>
      <w:r>
        <w:t xml:space="preserve"> benzodiazepines as a clear priority for monitoring</w:t>
      </w:r>
      <w:r w:rsidR="008E6F45">
        <w:t>,</w:t>
      </w:r>
      <w:r>
        <w:t xml:space="preserve"> followed by t</w:t>
      </w:r>
      <w:r w:rsidRPr="008410C8">
        <w:t>ramadol</w:t>
      </w:r>
      <w:r w:rsidR="008E6F45">
        <w:t>,</w:t>
      </w:r>
      <w:r>
        <w:t xml:space="preserve"> </w:t>
      </w:r>
      <w:r w:rsidR="008E6F45">
        <w:t>n</w:t>
      </w:r>
      <w:r>
        <w:t>on-</w:t>
      </w:r>
      <w:r w:rsidRPr="008410C8">
        <w:t>S</w:t>
      </w:r>
      <w:r>
        <w:t xml:space="preserve">chedule </w:t>
      </w:r>
      <w:r w:rsidRPr="008410C8">
        <w:t>8 codeine</w:t>
      </w:r>
      <w:r w:rsidR="008E6F45">
        <w:t>-</w:t>
      </w:r>
      <w:r w:rsidRPr="008410C8">
        <w:t>based products</w:t>
      </w:r>
      <w:r w:rsidR="008E6F45">
        <w:t>,</w:t>
      </w:r>
      <w:r w:rsidRPr="008410C8">
        <w:t xml:space="preserve"> and </w:t>
      </w:r>
      <w:r w:rsidR="008E6F45">
        <w:t xml:space="preserve">then </w:t>
      </w:r>
      <w:r>
        <w:t>g</w:t>
      </w:r>
      <w:r w:rsidRPr="008410C8">
        <w:t>abapentanoids</w:t>
      </w:r>
      <w:r>
        <w:t>.</w:t>
      </w:r>
    </w:p>
    <w:p w:rsidR="003B4DE3" w:rsidRDefault="008E6F45" w:rsidP="008E6F45">
      <w:r>
        <w:t xml:space="preserve">Stakeholders </w:t>
      </w:r>
      <w:r w:rsidR="00C718F7">
        <w:t xml:space="preserve">did </w:t>
      </w:r>
      <w:r>
        <w:t>highlight that b</w:t>
      </w:r>
      <w:r w:rsidR="009205F3" w:rsidRPr="008410C8">
        <w:t>enzodiazepines</w:t>
      </w:r>
      <w:r w:rsidR="009205F3">
        <w:t xml:space="preserve"> are often co-prescribed with opiates, with evidence indicating a higher risk of mortality when these two groups of medicines are taken together.</w:t>
      </w:r>
    </w:p>
    <w:p w:rsidR="00E07470" w:rsidRPr="009079AD" w:rsidRDefault="00052FE3" w:rsidP="009079AD">
      <w:pPr>
        <w:pStyle w:val="Heading2"/>
        <w:ind w:left="454" w:hanging="454"/>
        <w:rPr>
          <w:rFonts w:eastAsia="Calibri"/>
        </w:rPr>
      </w:pPr>
      <w:bookmarkStart w:id="13" w:name="_Toc18414677"/>
      <w:r>
        <w:rPr>
          <w:rFonts w:eastAsia="Calibri"/>
        </w:rPr>
        <w:t>A</w:t>
      </w:r>
      <w:r w:rsidR="009079AD" w:rsidRPr="009079AD">
        <w:rPr>
          <w:rFonts w:eastAsia="Calibri"/>
        </w:rPr>
        <w:t>uthorisation to prescribe Schedule 4 reportable</w:t>
      </w:r>
      <w:r w:rsidR="008E6F45">
        <w:rPr>
          <w:rFonts w:eastAsia="Calibri"/>
        </w:rPr>
        <w:t xml:space="preserve"> </w:t>
      </w:r>
      <w:r w:rsidR="009079AD" w:rsidRPr="009079AD">
        <w:rPr>
          <w:rFonts w:eastAsia="Calibri"/>
        </w:rPr>
        <w:t>medicines</w:t>
      </w:r>
      <w:bookmarkEnd w:id="13"/>
    </w:p>
    <w:p w:rsidR="003B4DE3" w:rsidRDefault="00595B10" w:rsidP="003B4DE3">
      <w:r w:rsidRPr="00830EC3">
        <w:t>Workshop participants were asked to rank six</w:t>
      </w:r>
      <w:r w:rsidR="00C718F7">
        <w:t xml:space="preserve"> possible </w:t>
      </w:r>
      <w:r w:rsidRPr="00830EC3">
        <w:t>factors</w:t>
      </w:r>
      <w:r w:rsidR="00C718F7">
        <w:t>,</w:t>
      </w:r>
      <w:r w:rsidRPr="00830EC3">
        <w:t xml:space="preserve"> </w:t>
      </w:r>
      <w:r w:rsidR="00C718F7">
        <w:t xml:space="preserve">to be </w:t>
      </w:r>
      <w:r w:rsidRPr="00830EC3">
        <w:t xml:space="preserve">considered </w:t>
      </w:r>
      <w:r w:rsidR="009079AD">
        <w:t>by the Department of Health</w:t>
      </w:r>
      <w:r w:rsidR="00C718F7">
        <w:t>,</w:t>
      </w:r>
      <w:r w:rsidR="009079AD">
        <w:t xml:space="preserve"> when </w:t>
      </w:r>
      <w:r w:rsidRPr="00830EC3">
        <w:t>deciding if an authorisation</w:t>
      </w:r>
      <w:r w:rsidR="009079AD">
        <w:t xml:space="preserve"> </w:t>
      </w:r>
      <w:r w:rsidRPr="00830EC3">
        <w:t xml:space="preserve">is required </w:t>
      </w:r>
      <w:r w:rsidR="00C718F7">
        <w:t xml:space="preserve">prior to </w:t>
      </w:r>
      <w:r w:rsidRPr="00830EC3">
        <w:t>prescrib</w:t>
      </w:r>
      <w:r w:rsidR="00C718F7">
        <w:t>ing</w:t>
      </w:r>
      <w:r w:rsidRPr="00830EC3">
        <w:t xml:space="preserve"> a Schedule 4 </w:t>
      </w:r>
      <w:r>
        <w:t>reportable</w:t>
      </w:r>
      <w:r w:rsidRPr="00830EC3">
        <w:t xml:space="preserve"> medicine</w:t>
      </w:r>
      <w:r w:rsidR="003B4DE3">
        <w:t>.</w:t>
      </w:r>
    </w:p>
    <w:p w:rsidR="00E07470" w:rsidRDefault="00595B10" w:rsidP="008E6F45">
      <w:pPr>
        <w:jc w:val="center"/>
      </w:pPr>
      <w:r>
        <w:rPr>
          <w:noProof/>
          <w:lang w:eastAsia="en-AU"/>
        </w:rPr>
        <w:drawing>
          <wp:inline distT="0" distB="0" distL="0" distR="0" wp14:anchorId="6557DC38" wp14:editId="76A8466D">
            <wp:extent cx="4562475" cy="2743200"/>
            <wp:effectExtent l="0" t="0" r="9525"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6F45" w:rsidRDefault="00487B6A" w:rsidP="008E6F45">
      <w:pPr>
        <w:ind w:left="1440" w:firstLine="720"/>
        <w:rPr>
          <w:sz w:val="20"/>
        </w:rPr>
      </w:pPr>
      <w:r>
        <w:rPr>
          <w:sz w:val="20"/>
        </w:rPr>
        <w:t>S8 = Schedule 8 medicine</w:t>
      </w:r>
    </w:p>
    <w:p w:rsidR="00221107" w:rsidRDefault="00221107" w:rsidP="008E6F45">
      <w:pPr>
        <w:ind w:left="1440" w:firstLine="720"/>
        <w:rPr>
          <w:sz w:val="20"/>
        </w:rPr>
      </w:pPr>
      <w:r w:rsidRPr="00221107">
        <w:rPr>
          <w:sz w:val="20"/>
        </w:rPr>
        <w:t>S4R = S</w:t>
      </w:r>
      <w:r w:rsidR="00487B6A">
        <w:rPr>
          <w:sz w:val="20"/>
        </w:rPr>
        <w:t xml:space="preserve">chedule 4 </w:t>
      </w:r>
      <w:r w:rsidR="008E6F45">
        <w:rPr>
          <w:sz w:val="20"/>
        </w:rPr>
        <w:t>r</w:t>
      </w:r>
      <w:r w:rsidR="00487B6A">
        <w:rPr>
          <w:sz w:val="20"/>
        </w:rPr>
        <w:t>eportable medicine</w:t>
      </w:r>
    </w:p>
    <w:p w:rsidR="003B4DE3" w:rsidRDefault="00B8032E" w:rsidP="009C1C29">
      <w:pPr>
        <w:pStyle w:val="ListParagraph"/>
        <w:spacing w:after="100" w:line="276" w:lineRule="auto"/>
        <w:ind w:left="0"/>
        <w:jc w:val="both"/>
        <w:rPr>
          <w:rFonts w:cs="Arial"/>
          <w:szCs w:val="24"/>
        </w:rPr>
      </w:pPr>
      <w:r w:rsidRPr="002000AA">
        <w:rPr>
          <w:rFonts w:cs="Arial"/>
          <w:szCs w:val="24"/>
        </w:rPr>
        <w:t xml:space="preserve">The factors </w:t>
      </w:r>
      <w:r w:rsidR="009C1C29">
        <w:rPr>
          <w:rFonts w:cs="Arial"/>
          <w:szCs w:val="24"/>
        </w:rPr>
        <w:t xml:space="preserve">identified by </w:t>
      </w:r>
      <w:r w:rsidR="009C1C29">
        <w:t>workshop participants</w:t>
      </w:r>
      <w:r w:rsidR="009C1C29" w:rsidRPr="009C1C29">
        <w:rPr>
          <w:rFonts w:cs="Arial"/>
          <w:szCs w:val="24"/>
        </w:rPr>
        <w:t xml:space="preserve"> </w:t>
      </w:r>
      <w:r w:rsidR="009C1C29">
        <w:rPr>
          <w:rFonts w:cs="Arial"/>
          <w:szCs w:val="24"/>
        </w:rPr>
        <w:t xml:space="preserve">as </w:t>
      </w:r>
      <w:r w:rsidR="009C1C29" w:rsidRPr="002000AA">
        <w:rPr>
          <w:rFonts w:cs="Arial"/>
          <w:szCs w:val="24"/>
        </w:rPr>
        <w:t>most important</w:t>
      </w:r>
      <w:r w:rsidR="009C1C29">
        <w:rPr>
          <w:rFonts w:cs="Arial"/>
          <w:szCs w:val="24"/>
        </w:rPr>
        <w:t xml:space="preserve"> </w:t>
      </w:r>
      <w:r w:rsidRPr="002000AA">
        <w:rPr>
          <w:rFonts w:cs="Arial"/>
          <w:szCs w:val="24"/>
        </w:rPr>
        <w:t xml:space="preserve">to </w:t>
      </w:r>
      <w:r w:rsidR="009C1C29">
        <w:rPr>
          <w:rFonts w:cs="Arial"/>
          <w:szCs w:val="24"/>
        </w:rPr>
        <w:t xml:space="preserve">determine </w:t>
      </w:r>
      <w:r w:rsidR="00C718F7">
        <w:rPr>
          <w:rFonts w:cs="Arial"/>
          <w:szCs w:val="24"/>
        </w:rPr>
        <w:t xml:space="preserve">whether </w:t>
      </w:r>
      <w:r w:rsidRPr="002000AA">
        <w:rPr>
          <w:rFonts w:cs="Arial"/>
          <w:szCs w:val="24"/>
        </w:rPr>
        <w:t xml:space="preserve">authorisation </w:t>
      </w:r>
      <w:r w:rsidR="00C718F7">
        <w:rPr>
          <w:rFonts w:cs="Arial"/>
          <w:szCs w:val="24"/>
        </w:rPr>
        <w:t xml:space="preserve">should be </w:t>
      </w:r>
      <w:r w:rsidRPr="002000AA">
        <w:rPr>
          <w:rFonts w:cs="Arial"/>
          <w:szCs w:val="24"/>
        </w:rPr>
        <w:t xml:space="preserve">required </w:t>
      </w:r>
      <w:r w:rsidR="009C1C29" w:rsidRPr="002000AA">
        <w:rPr>
          <w:rFonts w:cs="Arial"/>
          <w:szCs w:val="24"/>
        </w:rPr>
        <w:t>fr</w:t>
      </w:r>
      <w:r w:rsidR="009C1C29">
        <w:rPr>
          <w:rFonts w:cs="Arial"/>
          <w:szCs w:val="24"/>
        </w:rPr>
        <w:t>om the Department of Health prior to prescribing a</w:t>
      </w:r>
      <w:r w:rsidRPr="002000AA">
        <w:rPr>
          <w:rFonts w:cs="Arial"/>
          <w:szCs w:val="24"/>
        </w:rPr>
        <w:t xml:space="preserve"> S</w:t>
      </w:r>
      <w:r w:rsidR="009C1C29">
        <w:rPr>
          <w:rFonts w:cs="Arial"/>
          <w:szCs w:val="24"/>
        </w:rPr>
        <w:t xml:space="preserve">chedule 4 </w:t>
      </w:r>
      <w:r w:rsidR="00C718F7">
        <w:rPr>
          <w:rFonts w:cs="Arial"/>
          <w:szCs w:val="24"/>
        </w:rPr>
        <w:t>R</w:t>
      </w:r>
      <w:r w:rsidR="009C1C29">
        <w:rPr>
          <w:rFonts w:cs="Arial"/>
          <w:szCs w:val="24"/>
        </w:rPr>
        <w:t>eportable medicine</w:t>
      </w:r>
      <w:r w:rsidRPr="002000AA">
        <w:rPr>
          <w:rFonts w:cs="Arial"/>
          <w:szCs w:val="24"/>
        </w:rPr>
        <w:t xml:space="preserve"> </w:t>
      </w:r>
      <w:r w:rsidR="009C1C29">
        <w:rPr>
          <w:rFonts w:cs="Arial"/>
          <w:szCs w:val="24"/>
        </w:rPr>
        <w:t>was</w:t>
      </w:r>
      <w:r w:rsidR="0055302E">
        <w:rPr>
          <w:rFonts w:cs="Arial"/>
          <w:szCs w:val="24"/>
        </w:rPr>
        <w:t>,</w:t>
      </w:r>
      <w:r w:rsidRPr="002000AA">
        <w:rPr>
          <w:rFonts w:cs="Arial"/>
          <w:szCs w:val="24"/>
        </w:rPr>
        <w:t xml:space="preserve"> </w:t>
      </w:r>
      <w:r w:rsidR="0055302E">
        <w:rPr>
          <w:rFonts w:cs="Arial"/>
          <w:szCs w:val="24"/>
        </w:rPr>
        <w:t xml:space="preserve">when it was </w:t>
      </w:r>
      <w:r w:rsidR="00C718F7">
        <w:rPr>
          <w:rFonts w:cs="Arial"/>
          <w:szCs w:val="24"/>
        </w:rPr>
        <w:t>use</w:t>
      </w:r>
      <w:r w:rsidR="00EB6DF3">
        <w:rPr>
          <w:rFonts w:cs="Arial"/>
          <w:szCs w:val="24"/>
        </w:rPr>
        <w:t>d</w:t>
      </w:r>
      <w:r w:rsidR="00C718F7">
        <w:rPr>
          <w:rFonts w:cs="Arial"/>
          <w:szCs w:val="24"/>
        </w:rPr>
        <w:t xml:space="preserve"> in </w:t>
      </w:r>
      <w:r w:rsidRPr="002000AA">
        <w:rPr>
          <w:rFonts w:cs="Arial"/>
          <w:szCs w:val="24"/>
        </w:rPr>
        <w:t xml:space="preserve">combination with </w:t>
      </w:r>
      <w:r w:rsidR="00C718F7">
        <w:rPr>
          <w:rFonts w:cs="Arial"/>
          <w:szCs w:val="24"/>
        </w:rPr>
        <w:t xml:space="preserve">a </w:t>
      </w:r>
      <w:r w:rsidRPr="002000AA">
        <w:rPr>
          <w:rFonts w:cs="Arial"/>
          <w:szCs w:val="24"/>
        </w:rPr>
        <w:t>S</w:t>
      </w:r>
      <w:r>
        <w:rPr>
          <w:rFonts w:cs="Arial"/>
          <w:szCs w:val="24"/>
        </w:rPr>
        <w:t xml:space="preserve">chedule 8 </w:t>
      </w:r>
      <w:r w:rsidRPr="002000AA">
        <w:rPr>
          <w:rFonts w:cs="Arial"/>
          <w:szCs w:val="24"/>
        </w:rPr>
        <w:t xml:space="preserve">medicine, </w:t>
      </w:r>
      <w:r>
        <w:rPr>
          <w:rFonts w:cs="Arial"/>
          <w:szCs w:val="24"/>
        </w:rPr>
        <w:t xml:space="preserve">length </w:t>
      </w:r>
      <w:r w:rsidR="00C718F7">
        <w:rPr>
          <w:rFonts w:cs="Arial"/>
          <w:szCs w:val="24"/>
        </w:rPr>
        <w:t xml:space="preserve">(duration) </w:t>
      </w:r>
      <w:r>
        <w:rPr>
          <w:rFonts w:cs="Arial"/>
          <w:szCs w:val="24"/>
        </w:rPr>
        <w:t>of treatment</w:t>
      </w:r>
      <w:r w:rsidR="009C1C29">
        <w:rPr>
          <w:rFonts w:cs="Arial"/>
          <w:szCs w:val="24"/>
        </w:rPr>
        <w:t>,</w:t>
      </w:r>
      <w:r>
        <w:rPr>
          <w:rFonts w:cs="Arial"/>
          <w:szCs w:val="24"/>
        </w:rPr>
        <w:t xml:space="preserve"> and dose.</w:t>
      </w:r>
    </w:p>
    <w:p w:rsidR="005E5E79" w:rsidRPr="009C1C29" w:rsidRDefault="005E5E79" w:rsidP="009C1C29">
      <w:pPr>
        <w:pStyle w:val="Heading2"/>
      </w:pPr>
      <w:bookmarkStart w:id="14" w:name="_Toc17973098"/>
      <w:bookmarkStart w:id="15" w:name="_Toc18414678"/>
      <w:r w:rsidRPr="009C1C29">
        <w:t>Implications for prescribers and pharmacists</w:t>
      </w:r>
      <w:bookmarkEnd w:id="14"/>
      <w:bookmarkEnd w:id="15"/>
    </w:p>
    <w:p w:rsidR="003B4DE3" w:rsidRDefault="003B4DE3" w:rsidP="005E5E79">
      <w:r>
        <w:t xml:space="preserve">Workshop participants were asked to </w:t>
      </w:r>
      <w:r w:rsidR="00DE18D6">
        <w:t xml:space="preserve">identify how </w:t>
      </w:r>
      <w:r>
        <w:t>RPTM may affect workload and work</w:t>
      </w:r>
      <w:r w:rsidR="00246585">
        <w:t>flow</w:t>
      </w:r>
      <w:r>
        <w:t xml:space="preserve">. </w:t>
      </w:r>
      <w:r w:rsidR="00C718F7">
        <w:t>Items identified included:</w:t>
      </w:r>
    </w:p>
    <w:p w:rsidR="005E5E79" w:rsidRDefault="00DE18D6" w:rsidP="00C718F7">
      <w:pPr>
        <w:pStyle w:val="ListParagraph"/>
        <w:numPr>
          <w:ilvl w:val="0"/>
          <w:numId w:val="45"/>
        </w:numPr>
      </w:pPr>
      <w:r>
        <w:t xml:space="preserve">even with integration into </w:t>
      </w:r>
      <w:r w:rsidR="005E5E79" w:rsidRPr="00DB1D47">
        <w:t xml:space="preserve">dispensing </w:t>
      </w:r>
      <w:r w:rsidR="005E5E79">
        <w:t xml:space="preserve">and </w:t>
      </w:r>
      <w:r w:rsidR="005E5E79" w:rsidRPr="00DB1D47">
        <w:t>prescribing software</w:t>
      </w:r>
      <w:r>
        <w:t xml:space="preserve">, there will be </w:t>
      </w:r>
      <w:r w:rsidR="005E5E79">
        <w:t>re</w:t>
      </w:r>
      <w:r w:rsidR="009C1C29">
        <w:t>-</w:t>
      </w:r>
      <w:r w:rsidR="005E5E79">
        <w:t>training, administrati</w:t>
      </w:r>
      <w:r>
        <w:t xml:space="preserve">ve </w:t>
      </w:r>
      <w:r w:rsidR="005E5E79">
        <w:t>changes</w:t>
      </w:r>
      <w:r>
        <w:t xml:space="preserve">, and </w:t>
      </w:r>
      <w:r w:rsidR="005E5E79">
        <w:t>associated costs</w:t>
      </w:r>
      <w:r>
        <w:t xml:space="preserve"> with use of RTPM;</w:t>
      </w:r>
    </w:p>
    <w:p w:rsidR="005E5E79" w:rsidRDefault="00DE18D6" w:rsidP="00C718F7">
      <w:pPr>
        <w:pStyle w:val="ListParagraph"/>
        <w:numPr>
          <w:ilvl w:val="0"/>
          <w:numId w:val="45"/>
        </w:numPr>
      </w:pPr>
      <w:r>
        <w:t>R</w:t>
      </w:r>
      <w:r w:rsidR="005E5E79">
        <w:t>eportable Schedule 4 medicines will be channelled to the National Data Exchange (NDE)</w:t>
      </w:r>
      <w:r>
        <w:t xml:space="preserve">, </w:t>
      </w:r>
      <w:r w:rsidR="005E5E79">
        <w:t xml:space="preserve">prescription records </w:t>
      </w:r>
      <w:r>
        <w:t xml:space="preserve">will be </w:t>
      </w:r>
      <w:r w:rsidR="005E5E79">
        <w:t>immediately visible</w:t>
      </w:r>
      <w:r>
        <w:t>, and require immediate attention</w:t>
      </w:r>
      <w:r w:rsidR="005E5E79">
        <w:t xml:space="preserve"> </w:t>
      </w:r>
      <w:r>
        <w:t xml:space="preserve">of </w:t>
      </w:r>
      <w:r w:rsidR="005E5E79">
        <w:t>the prescriber and pharmacist</w:t>
      </w:r>
      <w:r>
        <w:t>;</w:t>
      </w:r>
    </w:p>
    <w:p w:rsidR="005E5E79" w:rsidRPr="005E5E79" w:rsidRDefault="005E5E79" w:rsidP="00C718F7">
      <w:pPr>
        <w:pStyle w:val="ListParagraph"/>
        <w:numPr>
          <w:ilvl w:val="0"/>
          <w:numId w:val="45"/>
        </w:numPr>
      </w:pPr>
      <w:r w:rsidRPr="005E5E79">
        <w:t xml:space="preserve">patients of concern </w:t>
      </w:r>
      <w:r w:rsidR="00DE18D6">
        <w:t xml:space="preserve">could be </w:t>
      </w:r>
      <w:r w:rsidRPr="005E5E79">
        <w:t>identified early in the patient–doctor consultation process</w:t>
      </w:r>
      <w:r w:rsidR="00DE18D6">
        <w:t xml:space="preserve">, which would </w:t>
      </w:r>
      <w:r w:rsidRPr="005E5E79">
        <w:t>enhance patient care</w:t>
      </w:r>
      <w:r w:rsidR="00DE18D6">
        <w:t>;</w:t>
      </w:r>
    </w:p>
    <w:p w:rsidR="005E5E79" w:rsidRDefault="005E5E79" w:rsidP="00C718F7">
      <w:pPr>
        <w:pStyle w:val="ListParagraph"/>
        <w:numPr>
          <w:ilvl w:val="0"/>
          <w:numId w:val="45"/>
        </w:numPr>
      </w:pPr>
      <w:r w:rsidRPr="005E5E79">
        <w:t xml:space="preserve">prescribers </w:t>
      </w:r>
      <w:r w:rsidR="00DE18D6">
        <w:t xml:space="preserve">would need </w:t>
      </w:r>
      <w:r w:rsidRPr="005E5E79">
        <w:t>timely response</w:t>
      </w:r>
      <w:r w:rsidR="00DE18D6">
        <w:t>s</w:t>
      </w:r>
      <w:r w:rsidRPr="005E5E79">
        <w:t xml:space="preserve"> to </w:t>
      </w:r>
      <w:r w:rsidR="00DE18D6">
        <w:t xml:space="preserve">applications to </w:t>
      </w:r>
      <w:r w:rsidRPr="005E5E79">
        <w:t>prescribe a</w:t>
      </w:r>
      <w:r>
        <w:t xml:space="preserve"> Schedule 4 reportable or Schedule 8 medicine from the Department of Health</w:t>
      </w:r>
      <w:r w:rsidR="00DE18D6">
        <w:t>;</w:t>
      </w:r>
    </w:p>
    <w:p w:rsidR="005E5E79" w:rsidRPr="00A758EA" w:rsidRDefault="00DE18D6" w:rsidP="00C718F7">
      <w:pPr>
        <w:pStyle w:val="ListParagraph"/>
        <w:numPr>
          <w:ilvl w:val="0"/>
          <w:numId w:val="45"/>
        </w:numPr>
      </w:pPr>
      <w:r>
        <w:lastRenderedPageBreak/>
        <w:t>it will be ea</w:t>
      </w:r>
      <w:r w:rsidR="005E5E79">
        <w:t>sier for prescribers to identify over supplied and drug dependent patients</w:t>
      </w:r>
      <w:r>
        <w:t xml:space="preserve">, for which they may </w:t>
      </w:r>
      <w:r w:rsidR="005E5E79">
        <w:t xml:space="preserve">require added support and education </w:t>
      </w:r>
      <w:r>
        <w:t xml:space="preserve">to assist </w:t>
      </w:r>
      <w:r w:rsidR="005E5E79">
        <w:t>treating these patients</w:t>
      </w:r>
      <w:r>
        <w:t>;</w:t>
      </w:r>
    </w:p>
    <w:p w:rsidR="005E5E79" w:rsidRDefault="005E5E79" w:rsidP="00C718F7">
      <w:pPr>
        <w:pStyle w:val="ListParagraph"/>
        <w:numPr>
          <w:ilvl w:val="0"/>
          <w:numId w:val="45"/>
        </w:numPr>
      </w:pPr>
      <w:r w:rsidRPr="00A758EA">
        <w:t xml:space="preserve">many General Practitioners are not aware of the Clinical Advisory Service </w:t>
      </w:r>
      <w:r>
        <w:t xml:space="preserve">offered by </w:t>
      </w:r>
      <w:r w:rsidRPr="00A758EA">
        <w:t>Next</w:t>
      </w:r>
      <w:r>
        <w:t xml:space="preserve"> Step Drug and Alcohol Services</w:t>
      </w:r>
      <w:r w:rsidR="00DE18D6">
        <w:t>;</w:t>
      </w:r>
    </w:p>
    <w:p w:rsidR="005E5E79" w:rsidRPr="00C718F7" w:rsidRDefault="005E5E79" w:rsidP="00C718F7">
      <w:pPr>
        <w:pStyle w:val="ListParagraph"/>
        <w:numPr>
          <w:ilvl w:val="0"/>
          <w:numId w:val="45"/>
        </w:numPr>
        <w:rPr>
          <w:rFonts w:eastAsia="Times New Roman"/>
          <w:szCs w:val="24"/>
        </w:rPr>
      </w:pPr>
      <w:r w:rsidRPr="00C718F7">
        <w:rPr>
          <w:rFonts w:eastAsia="Times New Roman"/>
          <w:szCs w:val="24"/>
        </w:rPr>
        <w:t>risk</w:t>
      </w:r>
      <w:r w:rsidR="00DE18D6">
        <w:rPr>
          <w:rFonts w:eastAsia="Times New Roman"/>
          <w:szCs w:val="24"/>
        </w:rPr>
        <w:t>s</w:t>
      </w:r>
      <w:r w:rsidRPr="00C718F7">
        <w:rPr>
          <w:rFonts w:eastAsia="Times New Roman"/>
          <w:szCs w:val="24"/>
        </w:rPr>
        <w:t xml:space="preserve"> associated with rapid reduction </w:t>
      </w:r>
      <w:r w:rsidR="00DE18D6">
        <w:rPr>
          <w:rFonts w:eastAsia="Times New Roman"/>
          <w:szCs w:val="24"/>
        </w:rPr>
        <w:t xml:space="preserve">or cessation </w:t>
      </w:r>
      <w:r w:rsidRPr="00C718F7">
        <w:rPr>
          <w:rFonts w:eastAsia="Times New Roman"/>
          <w:szCs w:val="24"/>
        </w:rPr>
        <w:t>of benzodiazepine</w:t>
      </w:r>
      <w:r w:rsidR="00DE18D6">
        <w:rPr>
          <w:rFonts w:eastAsia="Times New Roman"/>
          <w:szCs w:val="24"/>
        </w:rPr>
        <w:t>s</w:t>
      </w:r>
      <w:r w:rsidRPr="00C718F7">
        <w:rPr>
          <w:rFonts w:eastAsia="Times New Roman"/>
          <w:szCs w:val="24"/>
        </w:rPr>
        <w:t xml:space="preserve"> and opioid</w:t>
      </w:r>
      <w:r w:rsidR="00DE18D6">
        <w:rPr>
          <w:rFonts w:eastAsia="Times New Roman"/>
          <w:szCs w:val="24"/>
        </w:rPr>
        <w:t xml:space="preserve">s, require close </w:t>
      </w:r>
      <w:r w:rsidRPr="00C718F7">
        <w:rPr>
          <w:rFonts w:eastAsia="Times New Roman"/>
          <w:szCs w:val="24"/>
        </w:rPr>
        <w:t>medical management and patient cooperation</w:t>
      </w:r>
      <w:r w:rsidR="00DE18D6">
        <w:rPr>
          <w:rFonts w:eastAsia="Times New Roman"/>
          <w:szCs w:val="24"/>
        </w:rPr>
        <w:t>;</w:t>
      </w:r>
    </w:p>
    <w:p w:rsidR="005E5E79" w:rsidRPr="00C718F7" w:rsidRDefault="005E5E79" w:rsidP="00C718F7">
      <w:pPr>
        <w:pStyle w:val="ListParagraph"/>
        <w:numPr>
          <w:ilvl w:val="0"/>
          <w:numId w:val="45"/>
        </w:numPr>
        <w:rPr>
          <w:rFonts w:eastAsia="Times New Roman"/>
          <w:szCs w:val="24"/>
        </w:rPr>
      </w:pPr>
      <w:r w:rsidRPr="00C718F7">
        <w:rPr>
          <w:rFonts w:eastAsia="Times New Roman"/>
          <w:szCs w:val="24"/>
        </w:rPr>
        <w:t xml:space="preserve">oversupplied and drug dependent patients </w:t>
      </w:r>
      <w:r w:rsidR="00DE18D6">
        <w:rPr>
          <w:rFonts w:eastAsia="Times New Roman"/>
          <w:szCs w:val="24"/>
        </w:rPr>
        <w:t xml:space="preserve">may turn to </w:t>
      </w:r>
      <w:r w:rsidRPr="00C718F7">
        <w:rPr>
          <w:rFonts w:eastAsia="Times New Roman"/>
          <w:szCs w:val="24"/>
        </w:rPr>
        <w:t>hospital emergency departments</w:t>
      </w:r>
      <w:r w:rsidR="00DE18D6">
        <w:rPr>
          <w:rFonts w:eastAsia="Times New Roman"/>
          <w:szCs w:val="24"/>
        </w:rPr>
        <w:t xml:space="preserve">, which should be included in the </w:t>
      </w:r>
      <w:r w:rsidR="00C718F7" w:rsidRPr="00C718F7">
        <w:rPr>
          <w:rFonts w:eastAsia="Times New Roman"/>
          <w:szCs w:val="24"/>
        </w:rPr>
        <w:t>RTPM</w:t>
      </w:r>
      <w:r w:rsidR="00DE18D6">
        <w:rPr>
          <w:rFonts w:eastAsia="Times New Roman"/>
          <w:szCs w:val="24"/>
        </w:rPr>
        <w:t xml:space="preserve"> system; and</w:t>
      </w:r>
    </w:p>
    <w:p w:rsidR="005E5E79" w:rsidRDefault="005E5E79" w:rsidP="00C718F7">
      <w:pPr>
        <w:pStyle w:val="ListParagraph"/>
        <w:numPr>
          <w:ilvl w:val="0"/>
          <w:numId w:val="45"/>
        </w:numPr>
      </w:pPr>
      <w:r w:rsidRPr="005E5E79">
        <w:t xml:space="preserve">the </w:t>
      </w:r>
      <w:r w:rsidRPr="00C718F7">
        <w:rPr>
          <w:i/>
        </w:rPr>
        <w:t xml:space="preserve">Medicines and Poisons Act 2014 </w:t>
      </w:r>
      <w:r w:rsidR="00DE18D6">
        <w:t>pr</w:t>
      </w:r>
      <w:r w:rsidRPr="005E5E79">
        <w:t xml:space="preserve">ohibits </w:t>
      </w:r>
      <w:r w:rsidR="00DE18D6">
        <w:t xml:space="preserve">the </w:t>
      </w:r>
      <w:r w:rsidRPr="005E5E79">
        <w:t xml:space="preserve">self-prescribing of a Schedule 4 </w:t>
      </w:r>
      <w:r w:rsidR="00DE18D6">
        <w:t>R</w:t>
      </w:r>
      <w:r w:rsidRPr="005E5E79">
        <w:t xml:space="preserve">eportable </w:t>
      </w:r>
      <w:r w:rsidR="00DE18D6">
        <w:t>medicine</w:t>
      </w:r>
      <w:r>
        <w:t>.</w:t>
      </w:r>
      <w:r>
        <w:br w:type="page"/>
      </w:r>
    </w:p>
    <w:p w:rsidR="009C1C29" w:rsidRDefault="001864F4" w:rsidP="009C1C29">
      <w:pPr>
        <w:pStyle w:val="Heading1"/>
      </w:pPr>
      <w:bookmarkStart w:id="16" w:name="_Toc17973099"/>
      <w:bookmarkStart w:id="17" w:name="_Toc18414679"/>
      <w:r w:rsidRPr="00BF102F">
        <w:lastRenderedPageBreak/>
        <w:t>Workshop Two</w:t>
      </w:r>
      <w:bookmarkEnd w:id="17"/>
    </w:p>
    <w:p w:rsidR="009C1C29" w:rsidRPr="009C1C29" w:rsidRDefault="009C1C29" w:rsidP="009C1C29"/>
    <w:p w:rsidR="009C1C29" w:rsidRDefault="001864F4" w:rsidP="009C1C29">
      <w:pPr>
        <w:pStyle w:val="Heading2"/>
      </w:pPr>
      <w:bookmarkStart w:id="18" w:name="_Toc18414680"/>
      <w:r w:rsidRPr="00BF102F">
        <w:t>Doctor shopping</w:t>
      </w:r>
      <w:bookmarkEnd w:id="16"/>
      <w:bookmarkEnd w:id="18"/>
    </w:p>
    <w:p w:rsidR="003554E9" w:rsidRDefault="003554E9" w:rsidP="003554E9">
      <w:pPr>
        <w:rPr>
          <w:lang w:val="en-US"/>
        </w:rPr>
      </w:pPr>
      <w:r>
        <w:rPr>
          <w:lang w:val="en-US"/>
        </w:rPr>
        <w:t xml:space="preserve">Workshop participants were asked to </w:t>
      </w:r>
      <w:r w:rsidR="0079036D">
        <w:rPr>
          <w:lang w:val="en-US"/>
        </w:rPr>
        <w:t xml:space="preserve">consider the most appropriate </w:t>
      </w:r>
      <w:r>
        <w:rPr>
          <w:lang w:val="en-US"/>
        </w:rPr>
        <w:t xml:space="preserve">criteria for </w:t>
      </w:r>
      <w:r w:rsidR="00A558D7">
        <w:rPr>
          <w:lang w:val="en-US"/>
        </w:rPr>
        <w:t xml:space="preserve">raising an alert of potential </w:t>
      </w:r>
      <w:r>
        <w:rPr>
          <w:lang w:val="en-US"/>
        </w:rPr>
        <w:t>doctor shopping</w:t>
      </w:r>
      <w:r w:rsidR="00A558D7">
        <w:rPr>
          <w:lang w:val="en-US"/>
        </w:rPr>
        <w:t xml:space="preserve"> patients,</w:t>
      </w:r>
      <w:r>
        <w:rPr>
          <w:lang w:val="en-US"/>
        </w:rPr>
        <w:t xml:space="preserve"> using the following parameters:</w:t>
      </w:r>
    </w:p>
    <w:p w:rsidR="003554E9" w:rsidRDefault="003554E9" w:rsidP="00466419">
      <w:pPr>
        <w:pStyle w:val="ListParagraph"/>
        <w:numPr>
          <w:ilvl w:val="0"/>
          <w:numId w:val="20"/>
        </w:numPr>
        <w:spacing w:line="360" w:lineRule="auto"/>
        <w:ind w:left="714" w:hanging="357"/>
        <w:rPr>
          <w:lang w:val="en-US"/>
        </w:rPr>
      </w:pPr>
      <w:r w:rsidRPr="003554E9">
        <w:rPr>
          <w:lang w:val="en-US"/>
        </w:rPr>
        <w:t>Number of different prescribers visited by a patient</w:t>
      </w:r>
      <w:r w:rsidR="009C1C29">
        <w:rPr>
          <w:lang w:val="en-US"/>
        </w:rPr>
        <w:t>; and</w:t>
      </w:r>
    </w:p>
    <w:p w:rsidR="003554E9" w:rsidRPr="00052FE3" w:rsidRDefault="003554E9" w:rsidP="00052FE3">
      <w:pPr>
        <w:pStyle w:val="ListParagraph"/>
        <w:numPr>
          <w:ilvl w:val="0"/>
          <w:numId w:val="20"/>
        </w:numPr>
        <w:rPr>
          <w:lang w:val="en-US"/>
        </w:rPr>
      </w:pPr>
      <w:r w:rsidRPr="00052FE3">
        <w:rPr>
          <w:lang w:val="en-US"/>
        </w:rPr>
        <w:t>Period of time</w:t>
      </w:r>
      <w:r w:rsidR="009C1C29" w:rsidRPr="00052FE3">
        <w:rPr>
          <w:lang w:val="en-US"/>
        </w:rPr>
        <w:t>.</w:t>
      </w:r>
    </w:p>
    <w:p w:rsidR="003B4DE3" w:rsidRDefault="003554E9" w:rsidP="00A558D7">
      <w:pPr>
        <w:rPr>
          <w:lang w:val="en-US"/>
        </w:rPr>
      </w:pPr>
      <w:r>
        <w:rPr>
          <w:lang w:val="en-US"/>
        </w:rPr>
        <w:t xml:space="preserve">Workshop participants indicated that a patient visiting four </w:t>
      </w:r>
      <w:r w:rsidR="00052FE3">
        <w:rPr>
          <w:lang w:val="en-US"/>
        </w:rPr>
        <w:t xml:space="preserve">or more </w:t>
      </w:r>
      <w:r>
        <w:rPr>
          <w:lang w:val="en-US"/>
        </w:rPr>
        <w:t xml:space="preserve">different doctors over a two month period should be considered </w:t>
      </w:r>
      <w:r w:rsidR="00A558D7">
        <w:rPr>
          <w:lang w:val="en-US"/>
        </w:rPr>
        <w:t xml:space="preserve">indicative of potential </w:t>
      </w:r>
      <w:r>
        <w:rPr>
          <w:lang w:val="en-US"/>
        </w:rPr>
        <w:t>doctor shopping</w:t>
      </w:r>
      <w:r w:rsidR="00A558D7">
        <w:rPr>
          <w:lang w:val="en-US"/>
        </w:rPr>
        <w:t xml:space="preserve"> behaviour</w:t>
      </w:r>
      <w:r>
        <w:rPr>
          <w:lang w:val="en-US"/>
        </w:rPr>
        <w:t>.</w:t>
      </w:r>
      <w:r w:rsidR="003B4DE3">
        <w:rPr>
          <w:lang w:val="en-US"/>
        </w:rPr>
        <w:t xml:space="preserve"> </w:t>
      </w:r>
    </w:p>
    <w:p w:rsidR="00466419" w:rsidRDefault="00052FE3" w:rsidP="00A558D7">
      <w:pPr>
        <w:pStyle w:val="Heading2"/>
      </w:pPr>
      <w:bookmarkStart w:id="19" w:name="_Toc17973102"/>
      <w:bookmarkStart w:id="20" w:name="_Toc18414681"/>
      <w:r>
        <w:t>Pa</w:t>
      </w:r>
      <w:r w:rsidR="00466419" w:rsidRPr="00E3552A">
        <w:t>tient alert</w:t>
      </w:r>
      <w:r w:rsidR="00466419">
        <w:t>s</w:t>
      </w:r>
      <w:bookmarkEnd w:id="19"/>
      <w:bookmarkEnd w:id="20"/>
    </w:p>
    <w:p w:rsidR="00466419" w:rsidRDefault="00466419" w:rsidP="00953ADC">
      <w:r w:rsidRPr="00617884">
        <w:rPr>
          <w:lang w:val="en-US"/>
        </w:rPr>
        <w:t xml:space="preserve">Workshop participants were asked to rank fourteen </w:t>
      </w:r>
      <w:r w:rsidR="00A558D7">
        <w:rPr>
          <w:lang w:val="en-US"/>
        </w:rPr>
        <w:t xml:space="preserve">possible </w:t>
      </w:r>
      <w:r w:rsidRPr="00617884">
        <w:rPr>
          <w:lang w:val="en-US"/>
        </w:rPr>
        <w:t xml:space="preserve">factors that </w:t>
      </w:r>
      <w:r w:rsidR="00A558D7">
        <w:rPr>
          <w:lang w:val="en-US"/>
        </w:rPr>
        <w:t xml:space="preserve">might be used to generate </w:t>
      </w:r>
      <w:r w:rsidRPr="00617884">
        <w:rPr>
          <w:lang w:val="en-US"/>
        </w:rPr>
        <w:t>patient alert</w:t>
      </w:r>
      <w:r w:rsidR="00953ADC">
        <w:rPr>
          <w:lang w:val="en-US"/>
        </w:rPr>
        <w:t>s from available RTPM data, which would assist in management of patients.</w:t>
      </w:r>
    </w:p>
    <w:p w:rsidR="00466419" w:rsidRDefault="00466419" w:rsidP="00A558D7">
      <w:pPr>
        <w:jc w:val="center"/>
      </w:pPr>
      <w:r>
        <w:rPr>
          <w:noProof/>
          <w:lang w:eastAsia="en-AU"/>
        </w:rPr>
        <w:drawing>
          <wp:inline distT="0" distB="0" distL="0" distR="0" wp14:anchorId="30A2CDFE" wp14:editId="70C54FA1">
            <wp:extent cx="5724525" cy="3190875"/>
            <wp:effectExtent l="0" t="0" r="952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58D7" w:rsidRDefault="00487B6A" w:rsidP="00A558D7">
      <w:pPr>
        <w:spacing w:line="276" w:lineRule="auto"/>
        <w:ind w:left="1440"/>
        <w:rPr>
          <w:sz w:val="20"/>
          <w:szCs w:val="20"/>
        </w:rPr>
      </w:pPr>
      <w:r>
        <w:rPr>
          <w:sz w:val="20"/>
          <w:szCs w:val="20"/>
        </w:rPr>
        <w:t>MEqD</w:t>
      </w:r>
      <w:r w:rsidR="00A558D7">
        <w:rPr>
          <w:sz w:val="20"/>
          <w:szCs w:val="20"/>
        </w:rPr>
        <w:t xml:space="preserve"> =</w:t>
      </w:r>
      <w:r>
        <w:rPr>
          <w:sz w:val="20"/>
          <w:szCs w:val="20"/>
        </w:rPr>
        <w:t xml:space="preserve"> morphine equivalents per day</w:t>
      </w:r>
    </w:p>
    <w:p w:rsidR="00A558D7" w:rsidRDefault="00466419" w:rsidP="00A558D7">
      <w:pPr>
        <w:spacing w:line="276" w:lineRule="auto"/>
        <w:ind w:left="1440"/>
        <w:rPr>
          <w:sz w:val="20"/>
          <w:szCs w:val="20"/>
        </w:rPr>
      </w:pPr>
      <w:r>
        <w:rPr>
          <w:sz w:val="20"/>
          <w:szCs w:val="20"/>
        </w:rPr>
        <w:t>DDP</w:t>
      </w:r>
      <w:r w:rsidR="00A558D7">
        <w:rPr>
          <w:sz w:val="20"/>
          <w:szCs w:val="20"/>
        </w:rPr>
        <w:t xml:space="preserve"> =</w:t>
      </w:r>
      <w:r>
        <w:rPr>
          <w:sz w:val="20"/>
          <w:szCs w:val="20"/>
        </w:rPr>
        <w:t xml:space="preserve"> Drug Dependent Person</w:t>
      </w:r>
    </w:p>
    <w:p w:rsidR="00A558D7" w:rsidRDefault="00466419" w:rsidP="00A558D7">
      <w:pPr>
        <w:spacing w:line="276" w:lineRule="auto"/>
        <w:ind w:left="1440"/>
        <w:rPr>
          <w:sz w:val="20"/>
          <w:szCs w:val="20"/>
        </w:rPr>
      </w:pPr>
      <w:r>
        <w:rPr>
          <w:sz w:val="20"/>
          <w:szCs w:val="20"/>
        </w:rPr>
        <w:t>OSP</w:t>
      </w:r>
      <w:r w:rsidR="00A558D7">
        <w:rPr>
          <w:sz w:val="20"/>
          <w:szCs w:val="20"/>
        </w:rPr>
        <w:t xml:space="preserve"> = </w:t>
      </w:r>
      <w:r>
        <w:rPr>
          <w:sz w:val="20"/>
          <w:szCs w:val="20"/>
        </w:rPr>
        <w:t>Oversupplied Person</w:t>
      </w:r>
    </w:p>
    <w:p w:rsidR="00A558D7" w:rsidRDefault="00466419" w:rsidP="00A558D7">
      <w:pPr>
        <w:spacing w:line="276" w:lineRule="auto"/>
        <w:ind w:left="1440"/>
        <w:rPr>
          <w:sz w:val="20"/>
          <w:szCs w:val="20"/>
        </w:rPr>
      </w:pPr>
      <w:r>
        <w:rPr>
          <w:sz w:val="20"/>
          <w:szCs w:val="20"/>
        </w:rPr>
        <w:t>CPOP</w:t>
      </w:r>
      <w:r w:rsidR="00A558D7">
        <w:rPr>
          <w:sz w:val="20"/>
          <w:szCs w:val="20"/>
        </w:rPr>
        <w:t xml:space="preserve"> =</w:t>
      </w:r>
      <w:r>
        <w:rPr>
          <w:sz w:val="20"/>
          <w:szCs w:val="20"/>
        </w:rPr>
        <w:t xml:space="preserve"> Community Program for Opioid Pharmacotherapy</w:t>
      </w:r>
    </w:p>
    <w:p w:rsidR="00466419" w:rsidRDefault="00466419" w:rsidP="00A558D7">
      <w:pPr>
        <w:spacing w:line="276" w:lineRule="auto"/>
        <w:ind w:left="1440"/>
        <w:rPr>
          <w:sz w:val="20"/>
          <w:szCs w:val="20"/>
        </w:rPr>
      </w:pPr>
      <w:r>
        <w:rPr>
          <w:sz w:val="20"/>
          <w:szCs w:val="20"/>
        </w:rPr>
        <w:t>BZD: b</w:t>
      </w:r>
      <w:r w:rsidR="00487B6A">
        <w:rPr>
          <w:sz w:val="20"/>
          <w:szCs w:val="20"/>
        </w:rPr>
        <w:t>enzodiazepine, Rx: prescription</w:t>
      </w:r>
    </w:p>
    <w:p w:rsidR="00A558D7" w:rsidRDefault="00466419">
      <w:pPr>
        <w:spacing w:after="0"/>
        <w:rPr>
          <w:rFonts w:cs="Arial"/>
          <w:lang w:eastAsia="en-AU"/>
        </w:rPr>
      </w:pPr>
      <w:r w:rsidRPr="00D56C21">
        <w:rPr>
          <w:lang w:val="en-US"/>
        </w:rPr>
        <w:t>Workshop participants determined that the most</w:t>
      </w:r>
      <w:r>
        <w:rPr>
          <w:lang w:val="en-US"/>
        </w:rPr>
        <w:t xml:space="preserve"> critical </w:t>
      </w:r>
      <w:r w:rsidRPr="00D56C21">
        <w:rPr>
          <w:lang w:val="en-US"/>
        </w:rPr>
        <w:t xml:space="preserve">factor for creating a patient alert </w:t>
      </w:r>
      <w:r w:rsidR="00953ADC">
        <w:rPr>
          <w:lang w:val="en-US"/>
        </w:rPr>
        <w:t>should be w</w:t>
      </w:r>
      <w:r w:rsidRPr="00D56C21">
        <w:rPr>
          <w:lang w:val="en-US"/>
        </w:rPr>
        <w:t xml:space="preserve">hen the patient has been prescribed greater than </w:t>
      </w:r>
      <w:r w:rsidRPr="00D56C21">
        <w:rPr>
          <w:rFonts w:cs="Arial"/>
          <w:lang w:eastAsia="en-AU"/>
        </w:rPr>
        <w:t>90mg morphine equivalent per day</w:t>
      </w:r>
      <w:r w:rsidR="00953ADC">
        <w:rPr>
          <w:rFonts w:cs="Arial"/>
          <w:lang w:eastAsia="en-AU"/>
        </w:rPr>
        <w:t>,</w:t>
      </w:r>
      <w:r w:rsidRPr="00D56C21">
        <w:rPr>
          <w:rFonts w:cs="Arial"/>
          <w:lang w:eastAsia="en-AU"/>
        </w:rPr>
        <w:t xml:space="preserve"> or the patient is an oversupplied or drug dependent person.</w:t>
      </w:r>
      <w:r w:rsidR="00A558D7">
        <w:rPr>
          <w:rFonts w:cs="Arial"/>
          <w:lang w:eastAsia="en-AU"/>
        </w:rPr>
        <w:br w:type="page"/>
      </w:r>
    </w:p>
    <w:p w:rsidR="00953ADC" w:rsidRDefault="00953ADC" w:rsidP="00953ADC">
      <w:pPr>
        <w:pStyle w:val="Heading2"/>
      </w:pPr>
      <w:bookmarkStart w:id="21" w:name="_Toc18414682"/>
      <w:r>
        <w:lastRenderedPageBreak/>
        <w:t>Exemptions from mandatory use</w:t>
      </w:r>
      <w:bookmarkEnd w:id="21"/>
    </w:p>
    <w:p w:rsidR="00052FE3" w:rsidRPr="00953ADC" w:rsidRDefault="00221107" w:rsidP="00953ADC">
      <w:pPr>
        <w:spacing w:before="120"/>
        <w:rPr>
          <w:lang w:val="en-US"/>
        </w:rPr>
      </w:pPr>
      <w:r>
        <w:rPr>
          <w:lang w:val="en-US"/>
        </w:rPr>
        <w:t xml:space="preserve">Workshop participants were asked to rank </w:t>
      </w:r>
      <w:r w:rsidR="00A558D7">
        <w:rPr>
          <w:lang w:val="en-US"/>
        </w:rPr>
        <w:t xml:space="preserve">ten </w:t>
      </w:r>
      <w:r w:rsidR="00D9218C">
        <w:rPr>
          <w:lang w:val="en-US"/>
        </w:rPr>
        <w:t>potential situations</w:t>
      </w:r>
      <w:r>
        <w:rPr>
          <w:lang w:val="en-US"/>
        </w:rPr>
        <w:t xml:space="preserve"> where a prescriber </w:t>
      </w:r>
      <w:r w:rsidR="00D9218C">
        <w:rPr>
          <w:lang w:val="en-US"/>
        </w:rPr>
        <w:t xml:space="preserve">might </w:t>
      </w:r>
      <w:r>
        <w:rPr>
          <w:lang w:val="en-US"/>
        </w:rPr>
        <w:t xml:space="preserve">be exempted from </w:t>
      </w:r>
      <w:r w:rsidR="00A558D7">
        <w:rPr>
          <w:lang w:val="en-US"/>
        </w:rPr>
        <w:t xml:space="preserve">any mandatory rules </w:t>
      </w:r>
      <w:r w:rsidR="00953ADC">
        <w:rPr>
          <w:lang w:val="en-US"/>
        </w:rPr>
        <w:t xml:space="preserve">in place that require the </w:t>
      </w:r>
      <w:r>
        <w:rPr>
          <w:lang w:val="en-US"/>
        </w:rPr>
        <w:t xml:space="preserve">checking for a patient </w:t>
      </w:r>
      <w:r w:rsidR="00A558D7">
        <w:rPr>
          <w:lang w:val="en-US"/>
        </w:rPr>
        <w:t xml:space="preserve">history or </w:t>
      </w:r>
      <w:r>
        <w:rPr>
          <w:lang w:val="en-US"/>
        </w:rPr>
        <w:t xml:space="preserve">alert </w:t>
      </w:r>
      <w:r w:rsidR="00953ADC">
        <w:rPr>
          <w:lang w:val="en-US"/>
        </w:rPr>
        <w:t xml:space="preserve">supplied by the </w:t>
      </w:r>
      <w:r w:rsidR="00A558D7">
        <w:rPr>
          <w:lang w:val="en-US"/>
        </w:rPr>
        <w:t>RTPM</w:t>
      </w:r>
      <w:r w:rsidR="00953ADC">
        <w:rPr>
          <w:lang w:val="en-US"/>
        </w:rPr>
        <w:t xml:space="preserve"> system.</w:t>
      </w:r>
    </w:p>
    <w:p w:rsidR="00221107" w:rsidRDefault="00221107" w:rsidP="00A558D7">
      <w:pPr>
        <w:jc w:val="center"/>
        <w:rPr>
          <w:color w:val="0070C0"/>
        </w:rPr>
      </w:pPr>
      <w:r>
        <w:rPr>
          <w:noProof/>
          <w:lang w:eastAsia="en-AU"/>
        </w:rPr>
        <w:drawing>
          <wp:inline distT="0" distB="0" distL="0" distR="0" wp14:anchorId="5C8CC2D5" wp14:editId="1F1B3C13">
            <wp:extent cx="5486400" cy="2619375"/>
            <wp:effectExtent l="0" t="0" r="19050"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1661" w:rsidRDefault="001A2779" w:rsidP="00901661">
      <w:pPr>
        <w:ind w:left="720" w:firstLine="720"/>
        <w:rPr>
          <w:sz w:val="20"/>
        </w:rPr>
      </w:pPr>
      <w:r w:rsidRPr="007E1644">
        <w:rPr>
          <w:sz w:val="20"/>
        </w:rPr>
        <w:t>Rx</w:t>
      </w:r>
      <w:r w:rsidR="00901661">
        <w:rPr>
          <w:sz w:val="20"/>
        </w:rPr>
        <w:t xml:space="preserve"> = </w:t>
      </w:r>
      <w:r w:rsidRPr="007E1644">
        <w:rPr>
          <w:sz w:val="20"/>
        </w:rPr>
        <w:t>prescription</w:t>
      </w:r>
    </w:p>
    <w:p w:rsidR="00091697" w:rsidRDefault="001A2779" w:rsidP="00901661">
      <w:pPr>
        <w:ind w:left="720" w:firstLine="720"/>
        <w:rPr>
          <w:sz w:val="20"/>
        </w:rPr>
      </w:pPr>
      <w:r w:rsidRPr="007E1644">
        <w:rPr>
          <w:sz w:val="20"/>
        </w:rPr>
        <w:t>S8</w:t>
      </w:r>
      <w:r w:rsidR="00901661">
        <w:rPr>
          <w:sz w:val="20"/>
        </w:rPr>
        <w:t xml:space="preserve"> = </w:t>
      </w:r>
      <w:r w:rsidRPr="007E1644">
        <w:rPr>
          <w:sz w:val="20"/>
        </w:rPr>
        <w:t>Schedule 8 medicine</w:t>
      </w:r>
    </w:p>
    <w:p w:rsidR="007E1644" w:rsidRDefault="007E1644" w:rsidP="00A558D7">
      <w:pPr>
        <w:rPr>
          <w:rFonts w:eastAsia="Times New Roman"/>
          <w:lang w:eastAsia="en-AU"/>
        </w:rPr>
      </w:pPr>
      <w:r w:rsidRPr="00280D02">
        <w:rPr>
          <w:lang w:val="en-US"/>
        </w:rPr>
        <w:t xml:space="preserve">The workshop participants indicated that the prescriber </w:t>
      </w:r>
      <w:r w:rsidR="00A558D7">
        <w:rPr>
          <w:lang w:val="en-US"/>
        </w:rPr>
        <w:t xml:space="preserve">might </w:t>
      </w:r>
      <w:r w:rsidRPr="00280D02">
        <w:rPr>
          <w:lang w:val="en-US"/>
        </w:rPr>
        <w:t xml:space="preserve">be exempted from checking a </w:t>
      </w:r>
      <w:r w:rsidR="00A558D7">
        <w:rPr>
          <w:lang w:val="en-US"/>
        </w:rPr>
        <w:t xml:space="preserve">patient history or alert </w:t>
      </w:r>
      <w:r>
        <w:rPr>
          <w:lang w:val="en-US"/>
        </w:rPr>
        <w:t>in the following situations</w:t>
      </w:r>
      <w:r w:rsidR="00A558D7">
        <w:rPr>
          <w:lang w:val="en-US"/>
        </w:rPr>
        <w:t>:</w:t>
      </w:r>
    </w:p>
    <w:p w:rsidR="007E1644" w:rsidRPr="00455F17" w:rsidRDefault="007E1644" w:rsidP="00A558D7">
      <w:pPr>
        <w:pStyle w:val="ListParagraph"/>
        <w:numPr>
          <w:ilvl w:val="0"/>
          <w:numId w:val="37"/>
        </w:numPr>
      </w:pPr>
      <w:r w:rsidRPr="00455F17">
        <w:t>acute emergency service;</w:t>
      </w:r>
    </w:p>
    <w:p w:rsidR="007E1644" w:rsidRPr="00455F17" w:rsidRDefault="007E1644" w:rsidP="00A558D7">
      <w:pPr>
        <w:pStyle w:val="ListParagraph"/>
        <w:numPr>
          <w:ilvl w:val="0"/>
          <w:numId w:val="37"/>
        </w:numPr>
      </w:pPr>
      <w:r>
        <w:t xml:space="preserve">patient is in </w:t>
      </w:r>
      <w:r w:rsidRPr="00455F17">
        <w:t>palliative care;</w:t>
      </w:r>
    </w:p>
    <w:p w:rsidR="007E1644" w:rsidRPr="00455F17" w:rsidRDefault="007E1644" w:rsidP="00A558D7">
      <w:pPr>
        <w:pStyle w:val="ListParagraph"/>
        <w:numPr>
          <w:ilvl w:val="0"/>
          <w:numId w:val="37"/>
        </w:numPr>
      </w:pPr>
      <w:r w:rsidRPr="00455F17">
        <w:t xml:space="preserve">the system is </w:t>
      </w:r>
      <w:r w:rsidR="00A558D7">
        <w:t>unavailable;</w:t>
      </w:r>
    </w:p>
    <w:p w:rsidR="007E1644" w:rsidRPr="00455F17" w:rsidRDefault="007E1644" w:rsidP="00A558D7">
      <w:pPr>
        <w:pStyle w:val="ListParagraph"/>
        <w:numPr>
          <w:ilvl w:val="0"/>
          <w:numId w:val="37"/>
        </w:numPr>
      </w:pPr>
      <w:r w:rsidRPr="00455F17">
        <w:t xml:space="preserve">prescriber or pharmacist </w:t>
      </w:r>
      <w:r w:rsidR="00692297">
        <w:t xml:space="preserve">is </w:t>
      </w:r>
      <w:r w:rsidRPr="00455F17">
        <w:t>under duress; and</w:t>
      </w:r>
    </w:p>
    <w:p w:rsidR="007E1644" w:rsidRDefault="007E1644" w:rsidP="00A558D7">
      <w:pPr>
        <w:pStyle w:val="ListParagraph"/>
        <w:numPr>
          <w:ilvl w:val="0"/>
          <w:numId w:val="37"/>
        </w:numPr>
      </w:pPr>
      <w:r>
        <w:t xml:space="preserve">the patient is in a </w:t>
      </w:r>
      <w:r w:rsidRPr="00455F17">
        <w:t>residential care</w:t>
      </w:r>
      <w:r>
        <w:t xml:space="preserve"> facility</w:t>
      </w:r>
      <w:r w:rsidR="00A558D7">
        <w:t>.</w:t>
      </w:r>
    </w:p>
    <w:p w:rsidR="00B32C4F" w:rsidRDefault="00A558D7" w:rsidP="007E1644">
      <w:pPr>
        <w:spacing w:after="0"/>
        <w:rPr>
          <w:sz w:val="20"/>
        </w:rPr>
      </w:pPr>
      <w:r>
        <w:rPr>
          <w:rFonts w:cs="Arial"/>
        </w:rPr>
        <w:t xml:space="preserve">Workshop participants </w:t>
      </w:r>
      <w:r w:rsidR="00953ADC">
        <w:rPr>
          <w:rFonts w:cs="Arial"/>
        </w:rPr>
        <w:t xml:space="preserve">also </w:t>
      </w:r>
      <w:r>
        <w:rPr>
          <w:rFonts w:cs="Arial"/>
        </w:rPr>
        <w:t xml:space="preserve">indicated that where a RTPM alert had been reviewed by the prescriber and a </w:t>
      </w:r>
      <w:r w:rsidR="00953ADC">
        <w:rPr>
          <w:rFonts w:cs="Arial"/>
        </w:rPr>
        <w:t xml:space="preserve">considered </w:t>
      </w:r>
      <w:r>
        <w:rPr>
          <w:rFonts w:cs="Arial"/>
        </w:rPr>
        <w:t xml:space="preserve">decision made to prescribe, that it </w:t>
      </w:r>
      <w:r w:rsidR="00901661">
        <w:rPr>
          <w:rFonts w:cs="Arial"/>
        </w:rPr>
        <w:t xml:space="preserve">should be </w:t>
      </w:r>
      <w:r w:rsidR="007E1644" w:rsidRPr="00280D02">
        <w:rPr>
          <w:rFonts w:cs="Arial"/>
        </w:rPr>
        <w:t xml:space="preserve">incumbent </w:t>
      </w:r>
      <w:r w:rsidR="00901661">
        <w:rPr>
          <w:rFonts w:cs="Arial"/>
        </w:rPr>
        <w:t xml:space="preserve">on the prescriber to </w:t>
      </w:r>
      <w:r w:rsidR="007E1644">
        <w:rPr>
          <w:rFonts w:cs="Arial"/>
        </w:rPr>
        <w:t xml:space="preserve">advise </w:t>
      </w:r>
      <w:r w:rsidR="00901661">
        <w:rPr>
          <w:rFonts w:cs="Arial"/>
        </w:rPr>
        <w:t xml:space="preserve">the pharmacist </w:t>
      </w:r>
      <w:r w:rsidR="00D9218C">
        <w:rPr>
          <w:rFonts w:cs="Arial"/>
        </w:rPr>
        <w:t xml:space="preserve">as part of the prescription, </w:t>
      </w:r>
      <w:r w:rsidR="00901661">
        <w:rPr>
          <w:rFonts w:cs="Arial"/>
        </w:rPr>
        <w:t>th</w:t>
      </w:r>
      <w:r w:rsidR="00D9218C">
        <w:rPr>
          <w:rFonts w:cs="Arial"/>
        </w:rPr>
        <w:t>at a specific decision had been made</w:t>
      </w:r>
      <w:r w:rsidR="00901661">
        <w:rPr>
          <w:rFonts w:cs="Arial"/>
        </w:rPr>
        <w:t>.</w:t>
      </w:r>
      <w:r w:rsidR="00B32C4F">
        <w:rPr>
          <w:sz w:val="20"/>
        </w:rPr>
        <w:br w:type="page"/>
      </w:r>
    </w:p>
    <w:p w:rsidR="00052FE3" w:rsidRDefault="00B32C4F" w:rsidP="00BF102F">
      <w:pPr>
        <w:pStyle w:val="Heading1"/>
        <w:rPr>
          <w:rStyle w:val="Heading1Char"/>
          <w:b/>
          <w:bCs/>
        </w:rPr>
      </w:pPr>
      <w:bookmarkStart w:id="22" w:name="_Toc17973103"/>
      <w:bookmarkStart w:id="23" w:name="_Toc18414683"/>
      <w:r w:rsidRPr="00BF102F">
        <w:rPr>
          <w:rStyle w:val="Heading1Char"/>
          <w:b/>
          <w:bCs/>
        </w:rPr>
        <w:lastRenderedPageBreak/>
        <w:t>Workshop 3</w:t>
      </w:r>
      <w:bookmarkEnd w:id="23"/>
    </w:p>
    <w:p w:rsidR="00D112D8" w:rsidRPr="00052FE3" w:rsidRDefault="00D112D8" w:rsidP="00052FE3">
      <w:pPr>
        <w:pStyle w:val="Heading2"/>
        <w:rPr>
          <w:rStyle w:val="Heading2Char"/>
          <w:b/>
          <w:bCs/>
        </w:rPr>
      </w:pPr>
      <w:bookmarkStart w:id="24" w:name="_Toc17973104"/>
      <w:bookmarkStart w:id="25" w:name="_Toc18414684"/>
      <w:bookmarkEnd w:id="22"/>
      <w:r w:rsidRPr="00052FE3">
        <w:rPr>
          <w:rStyle w:val="Heading2Char"/>
          <w:b/>
          <w:bCs/>
        </w:rPr>
        <w:t>Role of the Department of Health</w:t>
      </w:r>
      <w:bookmarkEnd w:id="24"/>
      <w:bookmarkEnd w:id="25"/>
    </w:p>
    <w:p w:rsidR="00D112D8" w:rsidRDefault="00D112D8" w:rsidP="00D112D8">
      <w:pPr>
        <w:rPr>
          <w:lang w:eastAsia="ja-JP"/>
        </w:rPr>
      </w:pPr>
      <w:r>
        <w:rPr>
          <w:lang w:eastAsia="ja-JP"/>
        </w:rPr>
        <w:t xml:space="preserve">Workshop participants were asked to identify areas </w:t>
      </w:r>
      <w:r w:rsidR="00C01322">
        <w:rPr>
          <w:lang w:eastAsia="ja-JP"/>
        </w:rPr>
        <w:t xml:space="preserve">of RTPM use </w:t>
      </w:r>
      <w:r>
        <w:rPr>
          <w:lang w:eastAsia="ja-JP"/>
        </w:rPr>
        <w:t xml:space="preserve">that will require further </w:t>
      </w:r>
      <w:r w:rsidR="00312C07">
        <w:rPr>
          <w:lang w:eastAsia="ja-JP"/>
        </w:rPr>
        <w:t xml:space="preserve">supports </w:t>
      </w:r>
      <w:r w:rsidR="003676F4">
        <w:rPr>
          <w:lang w:eastAsia="ja-JP"/>
        </w:rPr>
        <w:t>and resources for</w:t>
      </w:r>
      <w:r>
        <w:rPr>
          <w:lang w:eastAsia="ja-JP"/>
        </w:rPr>
        <w:t xml:space="preserve"> health professional</w:t>
      </w:r>
      <w:r w:rsidR="00312C07">
        <w:rPr>
          <w:lang w:eastAsia="ja-JP"/>
        </w:rPr>
        <w:t>s</w:t>
      </w:r>
      <w:r>
        <w:rPr>
          <w:lang w:eastAsia="ja-JP"/>
        </w:rPr>
        <w:t xml:space="preserve"> and patients</w:t>
      </w:r>
      <w:r w:rsidR="00052FE3">
        <w:rPr>
          <w:lang w:eastAsia="ja-JP"/>
        </w:rPr>
        <w:t>.</w:t>
      </w:r>
    </w:p>
    <w:p w:rsidR="00D112D8" w:rsidRDefault="00D112D8" w:rsidP="003676F4">
      <w:pPr>
        <w:rPr>
          <w:lang w:val="en-US"/>
        </w:rPr>
      </w:pPr>
      <w:r w:rsidRPr="00A76C78">
        <w:rPr>
          <w:lang w:val="en-US"/>
        </w:rPr>
        <w:t xml:space="preserve">Workshop participants </w:t>
      </w:r>
      <w:r w:rsidR="00953ADC">
        <w:rPr>
          <w:lang w:val="en-US"/>
        </w:rPr>
        <w:t>indicated that t</w:t>
      </w:r>
      <w:r w:rsidRPr="00A76C78">
        <w:rPr>
          <w:lang w:val="en-US"/>
        </w:rPr>
        <w:t xml:space="preserve">he following </w:t>
      </w:r>
      <w:r>
        <w:rPr>
          <w:lang w:val="en-US"/>
        </w:rPr>
        <w:t xml:space="preserve">areas </w:t>
      </w:r>
      <w:r w:rsidR="00953ADC">
        <w:rPr>
          <w:lang w:val="en-US"/>
        </w:rPr>
        <w:t xml:space="preserve">should be considered as </w:t>
      </w:r>
      <w:r w:rsidR="00157E52">
        <w:rPr>
          <w:lang w:val="en-US"/>
        </w:rPr>
        <w:t xml:space="preserve">requiring </w:t>
      </w:r>
      <w:r>
        <w:rPr>
          <w:lang w:val="en-US"/>
        </w:rPr>
        <w:t>attention</w:t>
      </w:r>
      <w:r w:rsidR="00157E52">
        <w:rPr>
          <w:lang w:val="en-US"/>
        </w:rPr>
        <w:t xml:space="preserve"> and support when implementing RPTM:</w:t>
      </w:r>
    </w:p>
    <w:p w:rsidR="00D112D8" w:rsidRPr="00052FE3" w:rsidRDefault="00953ADC" w:rsidP="00052FE3">
      <w:pPr>
        <w:pStyle w:val="ListParagraph"/>
        <w:numPr>
          <w:ilvl w:val="0"/>
          <w:numId w:val="41"/>
        </w:numPr>
        <w:rPr>
          <w:lang w:val="en-US"/>
        </w:rPr>
      </w:pPr>
      <w:r>
        <w:rPr>
          <w:lang w:val="en-US"/>
        </w:rPr>
        <w:t xml:space="preserve">an </w:t>
      </w:r>
      <w:r w:rsidR="00D112D8" w:rsidRPr="00052FE3">
        <w:rPr>
          <w:lang w:val="en-US"/>
        </w:rPr>
        <w:t>increase</w:t>
      </w:r>
      <w:r w:rsidR="00157E52">
        <w:rPr>
          <w:lang w:val="en-US"/>
        </w:rPr>
        <w:t>d</w:t>
      </w:r>
      <w:r w:rsidR="00D112D8" w:rsidRPr="00052FE3">
        <w:rPr>
          <w:lang w:val="en-US"/>
        </w:rPr>
        <w:t xml:space="preserve"> </w:t>
      </w:r>
      <w:r w:rsidR="003676F4" w:rsidRPr="00052FE3">
        <w:rPr>
          <w:lang w:val="en-US"/>
        </w:rPr>
        <w:t>demand for</w:t>
      </w:r>
      <w:r w:rsidR="00D112D8" w:rsidRPr="00052FE3">
        <w:rPr>
          <w:lang w:val="en-US"/>
        </w:rPr>
        <w:t xml:space="preserve"> referral to drug and alcohol services; </w:t>
      </w:r>
    </w:p>
    <w:p w:rsidR="00D112D8" w:rsidRPr="00052FE3" w:rsidRDefault="00AC1CC3" w:rsidP="00052FE3">
      <w:pPr>
        <w:pStyle w:val="ListParagraph"/>
        <w:numPr>
          <w:ilvl w:val="0"/>
          <w:numId w:val="41"/>
        </w:numPr>
        <w:rPr>
          <w:szCs w:val="24"/>
        </w:rPr>
      </w:pPr>
      <w:r w:rsidRPr="00052FE3">
        <w:rPr>
          <w:szCs w:val="24"/>
        </w:rPr>
        <w:t>clear and simple</w:t>
      </w:r>
      <w:r w:rsidR="00D112D8" w:rsidRPr="00052FE3">
        <w:rPr>
          <w:szCs w:val="24"/>
        </w:rPr>
        <w:t xml:space="preserve"> pathway</w:t>
      </w:r>
      <w:r w:rsidRPr="00052FE3">
        <w:rPr>
          <w:szCs w:val="24"/>
        </w:rPr>
        <w:t xml:space="preserve">s </w:t>
      </w:r>
      <w:r w:rsidR="00D112D8" w:rsidRPr="00052FE3">
        <w:rPr>
          <w:szCs w:val="24"/>
        </w:rPr>
        <w:t xml:space="preserve">for prescribers to refer </w:t>
      </w:r>
      <w:r w:rsidR="00953ADC">
        <w:rPr>
          <w:szCs w:val="24"/>
        </w:rPr>
        <w:t>in</w:t>
      </w:r>
      <w:r w:rsidR="003676F4" w:rsidRPr="00052FE3">
        <w:rPr>
          <w:szCs w:val="24"/>
        </w:rPr>
        <w:t>to</w:t>
      </w:r>
      <w:r w:rsidR="00D112D8" w:rsidRPr="00052FE3">
        <w:rPr>
          <w:szCs w:val="24"/>
        </w:rPr>
        <w:t xml:space="preserve"> drug and alcohol services;</w:t>
      </w:r>
    </w:p>
    <w:p w:rsidR="00D112D8" w:rsidRPr="00052FE3" w:rsidRDefault="00157E52" w:rsidP="00052FE3">
      <w:pPr>
        <w:pStyle w:val="ListParagraph"/>
        <w:numPr>
          <w:ilvl w:val="0"/>
          <w:numId w:val="41"/>
        </w:numPr>
        <w:rPr>
          <w:szCs w:val="24"/>
        </w:rPr>
      </w:pPr>
      <w:r>
        <w:rPr>
          <w:szCs w:val="24"/>
        </w:rPr>
        <w:t>e</w:t>
      </w:r>
      <w:r w:rsidR="00D112D8" w:rsidRPr="00052FE3">
        <w:rPr>
          <w:szCs w:val="24"/>
        </w:rPr>
        <w:t>ducati</w:t>
      </w:r>
      <w:r>
        <w:rPr>
          <w:szCs w:val="24"/>
        </w:rPr>
        <w:t>on of</w:t>
      </w:r>
      <w:r w:rsidR="00D112D8" w:rsidRPr="00052FE3">
        <w:rPr>
          <w:szCs w:val="24"/>
        </w:rPr>
        <w:t xml:space="preserve"> prescribers and pharmacists </w:t>
      </w:r>
      <w:r w:rsidR="00953ADC">
        <w:rPr>
          <w:szCs w:val="24"/>
        </w:rPr>
        <w:t xml:space="preserve">around </w:t>
      </w:r>
      <w:r w:rsidR="00D112D8" w:rsidRPr="00052FE3">
        <w:rPr>
          <w:szCs w:val="24"/>
        </w:rPr>
        <w:t xml:space="preserve">the role </w:t>
      </w:r>
      <w:r w:rsidR="00953ADC">
        <w:rPr>
          <w:szCs w:val="24"/>
        </w:rPr>
        <w:t xml:space="preserve">of, </w:t>
      </w:r>
      <w:r w:rsidR="00D112D8" w:rsidRPr="00052FE3">
        <w:rPr>
          <w:szCs w:val="24"/>
        </w:rPr>
        <w:t xml:space="preserve">and services provided by </w:t>
      </w:r>
      <w:r>
        <w:rPr>
          <w:szCs w:val="24"/>
        </w:rPr>
        <w:t>drug and al</w:t>
      </w:r>
      <w:r w:rsidR="00D112D8" w:rsidRPr="00052FE3">
        <w:rPr>
          <w:szCs w:val="24"/>
        </w:rPr>
        <w:t xml:space="preserve">cohol </w:t>
      </w:r>
      <w:r>
        <w:rPr>
          <w:szCs w:val="24"/>
        </w:rPr>
        <w:t>s</w:t>
      </w:r>
      <w:r w:rsidR="00D112D8" w:rsidRPr="00052FE3">
        <w:rPr>
          <w:szCs w:val="24"/>
        </w:rPr>
        <w:t>ervices</w:t>
      </w:r>
      <w:r w:rsidR="00953ADC">
        <w:rPr>
          <w:szCs w:val="24"/>
        </w:rPr>
        <w:t xml:space="preserve"> in Western Australia</w:t>
      </w:r>
      <w:r w:rsidR="00D112D8" w:rsidRPr="00052FE3">
        <w:rPr>
          <w:szCs w:val="24"/>
        </w:rPr>
        <w:t>;</w:t>
      </w:r>
    </w:p>
    <w:p w:rsidR="00D112D8" w:rsidRPr="003676F4" w:rsidRDefault="00D112D8" w:rsidP="00052FE3">
      <w:pPr>
        <w:pStyle w:val="ListParagraph"/>
        <w:numPr>
          <w:ilvl w:val="0"/>
          <w:numId w:val="41"/>
        </w:numPr>
      </w:pPr>
      <w:r w:rsidRPr="003676F4">
        <w:t>difficult</w:t>
      </w:r>
      <w:r w:rsidR="00953ADC">
        <w:t xml:space="preserve">ies experienced by </w:t>
      </w:r>
      <w:r w:rsidRPr="003676F4">
        <w:t xml:space="preserve">country patients </w:t>
      </w:r>
      <w:r w:rsidR="00953ADC">
        <w:t xml:space="preserve">in </w:t>
      </w:r>
      <w:r w:rsidRPr="003676F4">
        <w:t>access</w:t>
      </w:r>
      <w:r w:rsidR="00953ADC">
        <w:t>ing</w:t>
      </w:r>
      <w:r w:rsidR="00157E52">
        <w:t xml:space="preserve"> drug and </w:t>
      </w:r>
      <w:r w:rsidRPr="003676F4">
        <w:t xml:space="preserve"> alcohol services;</w:t>
      </w:r>
    </w:p>
    <w:p w:rsidR="00D112D8" w:rsidRPr="00052FE3" w:rsidRDefault="00157E52" w:rsidP="00052FE3">
      <w:pPr>
        <w:pStyle w:val="ListParagraph"/>
        <w:numPr>
          <w:ilvl w:val="0"/>
          <w:numId w:val="41"/>
        </w:numPr>
        <w:rPr>
          <w:szCs w:val="24"/>
        </w:rPr>
      </w:pPr>
      <w:r>
        <w:rPr>
          <w:szCs w:val="24"/>
        </w:rPr>
        <w:t>e</w:t>
      </w:r>
      <w:r w:rsidR="00D112D8" w:rsidRPr="00052FE3">
        <w:rPr>
          <w:szCs w:val="24"/>
        </w:rPr>
        <w:t>ducat</w:t>
      </w:r>
      <w:r w:rsidR="00C01322">
        <w:rPr>
          <w:szCs w:val="24"/>
        </w:rPr>
        <w:t xml:space="preserve">ion of </w:t>
      </w:r>
      <w:r w:rsidR="00D112D8" w:rsidRPr="00052FE3">
        <w:rPr>
          <w:szCs w:val="24"/>
        </w:rPr>
        <w:t>prescribers and pharmacists to communicate effectively and empathetically with patients</w:t>
      </w:r>
      <w:r>
        <w:rPr>
          <w:szCs w:val="24"/>
        </w:rPr>
        <w:t xml:space="preserve"> who may have dependence issues</w:t>
      </w:r>
      <w:r w:rsidR="00052FE3" w:rsidRPr="00052FE3">
        <w:rPr>
          <w:szCs w:val="24"/>
        </w:rPr>
        <w:t>;</w:t>
      </w:r>
      <w:r w:rsidR="00D112D8" w:rsidRPr="00052FE3">
        <w:rPr>
          <w:szCs w:val="24"/>
        </w:rPr>
        <w:t xml:space="preserve"> and</w:t>
      </w:r>
    </w:p>
    <w:p w:rsidR="00D112D8" w:rsidRPr="00052FE3" w:rsidRDefault="00C01322" w:rsidP="00052FE3">
      <w:pPr>
        <w:pStyle w:val="ListParagraph"/>
        <w:numPr>
          <w:ilvl w:val="0"/>
          <w:numId w:val="41"/>
        </w:numPr>
      </w:pPr>
      <w:r>
        <w:rPr>
          <w:szCs w:val="24"/>
        </w:rPr>
        <w:t xml:space="preserve">strategies for </w:t>
      </w:r>
      <w:r w:rsidR="00157E52">
        <w:rPr>
          <w:szCs w:val="24"/>
        </w:rPr>
        <w:t>p</w:t>
      </w:r>
      <w:r w:rsidR="00D112D8" w:rsidRPr="00052FE3">
        <w:rPr>
          <w:szCs w:val="24"/>
        </w:rPr>
        <w:t xml:space="preserve">harmacists </w:t>
      </w:r>
      <w:r>
        <w:rPr>
          <w:szCs w:val="24"/>
        </w:rPr>
        <w:t xml:space="preserve">presented with </w:t>
      </w:r>
      <w:r w:rsidR="00D112D8" w:rsidRPr="00052FE3">
        <w:rPr>
          <w:szCs w:val="24"/>
        </w:rPr>
        <w:t>high</w:t>
      </w:r>
      <w:r>
        <w:rPr>
          <w:szCs w:val="24"/>
        </w:rPr>
        <w:t>-</w:t>
      </w:r>
      <w:r w:rsidR="00D112D8" w:rsidRPr="00052FE3">
        <w:rPr>
          <w:szCs w:val="24"/>
        </w:rPr>
        <w:t>risk prescription</w:t>
      </w:r>
      <w:r>
        <w:rPr>
          <w:szCs w:val="24"/>
        </w:rPr>
        <w:t>s</w:t>
      </w:r>
      <w:r w:rsidR="00157E52">
        <w:rPr>
          <w:szCs w:val="24"/>
        </w:rPr>
        <w:t xml:space="preserve">, when the prescriber or Department of Health are </w:t>
      </w:r>
      <w:r w:rsidR="00D112D8" w:rsidRPr="00052FE3">
        <w:rPr>
          <w:szCs w:val="24"/>
        </w:rPr>
        <w:t xml:space="preserve">not </w:t>
      </w:r>
      <w:r w:rsidR="00D112D8" w:rsidRPr="00052FE3">
        <w:t>contactable</w:t>
      </w:r>
      <w:r>
        <w:t xml:space="preserve"> for assistance</w:t>
      </w:r>
      <w:r w:rsidR="00D112D8" w:rsidRPr="00052FE3">
        <w:t>.</w:t>
      </w:r>
    </w:p>
    <w:p w:rsidR="003676F4" w:rsidRPr="0022631B" w:rsidRDefault="003676F4" w:rsidP="003676F4">
      <w:pPr>
        <w:rPr>
          <w:color w:val="0070C0"/>
          <w:lang w:val="en-US"/>
        </w:rPr>
      </w:pPr>
      <w:r w:rsidRPr="0022631B">
        <w:rPr>
          <w:lang w:val="en-US"/>
        </w:rPr>
        <w:t xml:space="preserve">Workshop participants </w:t>
      </w:r>
      <w:r w:rsidR="00C01322">
        <w:rPr>
          <w:lang w:val="en-US"/>
        </w:rPr>
        <w:t xml:space="preserve">were also asked about relevant considerations when designing </w:t>
      </w:r>
      <w:r w:rsidR="00312C07">
        <w:rPr>
          <w:lang w:val="en-US"/>
        </w:rPr>
        <w:t xml:space="preserve">education </w:t>
      </w:r>
      <w:r w:rsidR="001F330C" w:rsidRPr="0022631B">
        <w:rPr>
          <w:lang w:val="en-US"/>
        </w:rPr>
        <w:t>tools</w:t>
      </w:r>
      <w:r w:rsidRPr="0022631B">
        <w:rPr>
          <w:lang w:val="en-US"/>
        </w:rPr>
        <w:t xml:space="preserve"> </w:t>
      </w:r>
      <w:r w:rsidR="00157E52">
        <w:rPr>
          <w:lang w:val="en-US"/>
        </w:rPr>
        <w:t xml:space="preserve">for </w:t>
      </w:r>
      <w:r w:rsidR="00C01322">
        <w:rPr>
          <w:lang w:val="en-US"/>
        </w:rPr>
        <w:t xml:space="preserve">the successful </w:t>
      </w:r>
      <w:r w:rsidR="00157E52">
        <w:rPr>
          <w:lang w:val="en-US"/>
        </w:rPr>
        <w:t>implementation and use of RTPM by practitioners</w:t>
      </w:r>
      <w:r w:rsidR="00C01322">
        <w:rPr>
          <w:lang w:val="en-US"/>
        </w:rPr>
        <w:t xml:space="preserve">. </w:t>
      </w:r>
      <w:r w:rsidR="00312C07">
        <w:rPr>
          <w:lang w:val="en-US"/>
        </w:rPr>
        <w:t>R</w:t>
      </w:r>
      <w:r w:rsidR="00C01322">
        <w:rPr>
          <w:lang w:val="en-US"/>
        </w:rPr>
        <w:t>esponses included that</w:t>
      </w:r>
      <w:r w:rsidRPr="0022631B">
        <w:rPr>
          <w:lang w:val="en-US"/>
        </w:rPr>
        <w:t>:</w:t>
      </w:r>
    </w:p>
    <w:p w:rsidR="00157E52" w:rsidRDefault="00157E52" w:rsidP="00052FE3">
      <w:pPr>
        <w:pStyle w:val="ListParagraph"/>
        <w:numPr>
          <w:ilvl w:val="0"/>
          <w:numId w:val="42"/>
        </w:numPr>
      </w:pPr>
      <w:r>
        <w:t xml:space="preserve">a wide range of </w:t>
      </w:r>
      <w:r w:rsidR="00C01322">
        <w:t xml:space="preserve">different </w:t>
      </w:r>
      <w:r w:rsidR="003676F4" w:rsidRPr="0022631B">
        <w:t xml:space="preserve">tools </w:t>
      </w:r>
      <w:r>
        <w:t xml:space="preserve">is </w:t>
      </w:r>
      <w:r w:rsidR="003676F4" w:rsidRPr="0022631B">
        <w:t>needed</w:t>
      </w:r>
      <w:r>
        <w:t>;</w:t>
      </w:r>
    </w:p>
    <w:p w:rsidR="003676F4" w:rsidRPr="0022631B" w:rsidRDefault="00157E52" w:rsidP="00052FE3">
      <w:pPr>
        <w:pStyle w:val="ListParagraph"/>
        <w:numPr>
          <w:ilvl w:val="0"/>
          <w:numId w:val="42"/>
        </w:numPr>
      </w:pPr>
      <w:r>
        <w:t xml:space="preserve">the </w:t>
      </w:r>
      <w:r w:rsidR="003676F4">
        <w:t>change</w:t>
      </w:r>
      <w:r>
        <w:t>s</w:t>
      </w:r>
      <w:r w:rsidR="003676F4">
        <w:t xml:space="preserve"> </w:t>
      </w:r>
      <w:r>
        <w:t xml:space="preserve">to </w:t>
      </w:r>
      <w:r w:rsidR="003676F4">
        <w:t xml:space="preserve">codeine scheduling </w:t>
      </w:r>
      <w:r>
        <w:t xml:space="preserve">were identified as </w:t>
      </w:r>
      <w:r w:rsidR="003676F4">
        <w:t>a</w:t>
      </w:r>
      <w:r w:rsidR="003676F4" w:rsidRPr="0022631B">
        <w:t xml:space="preserve"> good example </w:t>
      </w:r>
      <w:r>
        <w:t xml:space="preserve">of using </w:t>
      </w:r>
      <w:r w:rsidR="003676F4" w:rsidRPr="0022631B">
        <w:t>engaged stakeholders and networks;</w:t>
      </w:r>
    </w:p>
    <w:p w:rsidR="003676F4" w:rsidRDefault="00157E52" w:rsidP="00052FE3">
      <w:pPr>
        <w:pStyle w:val="ListParagraph"/>
        <w:numPr>
          <w:ilvl w:val="0"/>
          <w:numId w:val="42"/>
        </w:numPr>
      </w:pPr>
      <w:r>
        <w:t>f</w:t>
      </w:r>
      <w:r w:rsidR="003676F4" w:rsidRPr="00A12EC4">
        <w:t>ax</w:t>
      </w:r>
      <w:r>
        <w:t>es</w:t>
      </w:r>
      <w:r w:rsidR="003676F4" w:rsidRPr="00A12EC4">
        <w:t xml:space="preserve"> and letters </w:t>
      </w:r>
      <w:r w:rsidR="00C01322">
        <w:t xml:space="preserve">were still an effective way to reach </w:t>
      </w:r>
      <w:r w:rsidR="003676F4">
        <w:t>prescribers and pharmac</w:t>
      </w:r>
      <w:r w:rsidR="00172EE3">
        <w:t>ists;</w:t>
      </w:r>
    </w:p>
    <w:p w:rsidR="003B4DE3" w:rsidRDefault="00157E52" w:rsidP="003B4DE3">
      <w:pPr>
        <w:pStyle w:val="ListParagraph"/>
        <w:numPr>
          <w:ilvl w:val="0"/>
          <w:numId w:val="30"/>
        </w:numPr>
        <w:rPr>
          <w:lang w:val="en-US"/>
        </w:rPr>
      </w:pPr>
      <w:r>
        <w:rPr>
          <w:lang w:val="en-US"/>
        </w:rPr>
        <w:t>o</w:t>
      </w:r>
      <w:r w:rsidR="003676F4" w:rsidRPr="00052FE3">
        <w:rPr>
          <w:lang w:val="en-US"/>
        </w:rPr>
        <w:t>nline learning module</w:t>
      </w:r>
      <w:r>
        <w:rPr>
          <w:lang w:val="en-US"/>
        </w:rPr>
        <w:t>s</w:t>
      </w:r>
      <w:r w:rsidR="003676F4" w:rsidRPr="00052FE3">
        <w:rPr>
          <w:lang w:val="en-US"/>
        </w:rPr>
        <w:t xml:space="preserve"> for prescribers and pharmacists </w:t>
      </w:r>
      <w:r w:rsidR="00C01322">
        <w:rPr>
          <w:lang w:val="en-US"/>
        </w:rPr>
        <w:t xml:space="preserve">needed to </w:t>
      </w:r>
      <w:r w:rsidR="003676F4" w:rsidRPr="00052FE3">
        <w:rPr>
          <w:lang w:val="en-US"/>
        </w:rPr>
        <w:t>contribute towards continuing professional development</w:t>
      </w:r>
      <w:r>
        <w:rPr>
          <w:lang w:val="en-US"/>
        </w:rPr>
        <w:t xml:space="preserve"> points</w:t>
      </w:r>
      <w:r w:rsidR="003B4DE3">
        <w:rPr>
          <w:lang w:val="en-US"/>
        </w:rPr>
        <w:t>;</w:t>
      </w:r>
    </w:p>
    <w:p w:rsidR="003B4DE3" w:rsidRPr="00AC1CC3" w:rsidRDefault="00C01322" w:rsidP="003B4DE3">
      <w:pPr>
        <w:pStyle w:val="ListParagraph"/>
        <w:numPr>
          <w:ilvl w:val="0"/>
          <w:numId w:val="30"/>
        </w:numPr>
        <w:rPr>
          <w:lang w:val="en-US"/>
        </w:rPr>
      </w:pPr>
      <w:r>
        <w:rPr>
          <w:lang w:val="en-US"/>
        </w:rPr>
        <w:t>there should be appropriate leverage of</w:t>
      </w:r>
      <w:r w:rsidR="003B4DE3">
        <w:rPr>
          <w:lang w:val="en-US"/>
        </w:rPr>
        <w:t xml:space="preserve"> existing r</w:t>
      </w:r>
      <w:r w:rsidR="003B4DE3" w:rsidRPr="00AC1CC3">
        <w:rPr>
          <w:lang w:val="en-US"/>
        </w:rPr>
        <w:t>esources such as:</w:t>
      </w:r>
    </w:p>
    <w:p w:rsidR="003B4DE3" w:rsidRPr="00AC1CC3" w:rsidRDefault="003B4DE3" w:rsidP="003B4DE3">
      <w:pPr>
        <w:pStyle w:val="ListParagraph"/>
        <w:numPr>
          <w:ilvl w:val="1"/>
          <w:numId w:val="30"/>
        </w:numPr>
        <w:rPr>
          <w:lang w:val="en-US"/>
        </w:rPr>
      </w:pPr>
      <w:r w:rsidRPr="00C81151">
        <w:t>National Strategic Plan for Pain Management;</w:t>
      </w:r>
    </w:p>
    <w:p w:rsidR="003B4DE3" w:rsidRPr="00AC1CC3" w:rsidRDefault="003B4DE3" w:rsidP="003B4DE3">
      <w:pPr>
        <w:pStyle w:val="ListParagraph"/>
        <w:numPr>
          <w:ilvl w:val="1"/>
          <w:numId w:val="30"/>
        </w:numPr>
        <w:rPr>
          <w:lang w:val="en-US"/>
        </w:rPr>
      </w:pPr>
      <w:r>
        <w:t>Next Step Drug and Alcohol Services;</w:t>
      </w:r>
      <w:r w:rsidR="00C01322">
        <w:t xml:space="preserve"> and</w:t>
      </w:r>
    </w:p>
    <w:p w:rsidR="003676F4" w:rsidRPr="003B4DE3" w:rsidRDefault="003B4DE3" w:rsidP="003B4DE3">
      <w:pPr>
        <w:pStyle w:val="ListParagraph"/>
        <w:numPr>
          <w:ilvl w:val="0"/>
          <w:numId w:val="30"/>
        </w:numPr>
      </w:pPr>
      <w:r>
        <w:rPr>
          <w:lang w:val="en-US"/>
        </w:rPr>
        <w:t>p</w:t>
      </w:r>
      <w:r w:rsidRPr="003B4DE3">
        <w:rPr>
          <w:lang w:val="en-US"/>
        </w:rPr>
        <w:t xml:space="preserve">harmacists </w:t>
      </w:r>
      <w:r>
        <w:rPr>
          <w:lang w:val="en-US"/>
        </w:rPr>
        <w:t>at the “</w:t>
      </w:r>
      <w:r w:rsidRPr="003B4DE3">
        <w:rPr>
          <w:lang w:val="en-US"/>
        </w:rPr>
        <w:t>front line</w:t>
      </w:r>
      <w:r>
        <w:rPr>
          <w:lang w:val="en-US"/>
        </w:rPr>
        <w:t xml:space="preserve">” </w:t>
      </w:r>
      <w:r w:rsidRPr="003B4DE3">
        <w:rPr>
          <w:lang w:val="en-US"/>
        </w:rPr>
        <w:t xml:space="preserve">require </w:t>
      </w:r>
      <w:r>
        <w:rPr>
          <w:lang w:val="en-US"/>
        </w:rPr>
        <w:t xml:space="preserve">additional </w:t>
      </w:r>
      <w:r w:rsidRPr="003B4DE3">
        <w:rPr>
          <w:lang w:val="en-US"/>
        </w:rPr>
        <w:t>support</w:t>
      </w:r>
      <w:r w:rsidR="00C01322">
        <w:rPr>
          <w:lang w:val="en-US"/>
        </w:rPr>
        <w:t>s</w:t>
      </w:r>
      <w:r w:rsidRPr="003B4DE3">
        <w:rPr>
          <w:lang w:val="en-US"/>
        </w:rPr>
        <w:t xml:space="preserve"> </w:t>
      </w:r>
      <w:r>
        <w:rPr>
          <w:lang w:val="en-US"/>
        </w:rPr>
        <w:t xml:space="preserve">to </w:t>
      </w:r>
      <w:r w:rsidR="00C01322">
        <w:rPr>
          <w:lang w:val="en-US"/>
        </w:rPr>
        <w:t xml:space="preserve">be properly equipped to </w:t>
      </w:r>
      <w:r>
        <w:rPr>
          <w:lang w:val="en-US"/>
        </w:rPr>
        <w:t>manage problematic prescription medicine use</w:t>
      </w:r>
      <w:r w:rsidRPr="003B4DE3">
        <w:rPr>
          <w:lang w:val="en-US"/>
        </w:rPr>
        <w:t>.</w:t>
      </w:r>
    </w:p>
    <w:p w:rsidR="00783EA7" w:rsidRDefault="00783EA7" w:rsidP="00783EA7">
      <w:pPr>
        <w:rPr>
          <w:lang w:val="en-US"/>
        </w:rPr>
      </w:pPr>
      <w:r w:rsidRPr="00C81151">
        <w:rPr>
          <w:lang w:val="en-US"/>
        </w:rPr>
        <w:t>Workshop par</w:t>
      </w:r>
      <w:r>
        <w:rPr>
          <w:lang w:val="en-US"/>
        </w:rPr>
        <w:t xml:space="preserve">ticipants </w:t>
      </w:r>
      <w:r w:rsidR="00C01322">
        <w:rPr>
          <w:lang w:val="en-US"/>
        </w:rPr>
        <w:t xml:space="preserve">were asked for their opinions on </w:t>
      </w:r>
      <w:r>
        <w:rPr>
          <w:lang w:val="en-US"/>
        </w:rPr>
        <w:t xml:space="preserve">consumer </w:t>
      </w:r>
      <w:r w:rsidR="00C01322">
        <w:rPr>
          <w:lang w:val="en-US"/>
        </w:rPr>
        <w:t xml:space="preserve">education and awareness in relation to </w:t>
      </w:r>
      <w:r w:rsidR="00157E52">
        <w:rPr>
          <w:lang w:val="en-US"/>
        </w:rPr>
        <w:t>RPTM</w:t>
      </w:r>
      <w:r w:rsidR="00C01322">
        <w:rPr>
          <w:lang w:val="en-US"/>
        </w:rPr>
        <w:t>. They identified important concerns as including:</w:t>
      </w:r>
    </w:p>
    <w:p w:rsidR="00783EA7" w:rsidRPr="00AC1CC3" w:rsidRDefault="00C01322" w:rsidP="00AC1CC3">
      <w:pPr>
        <w:pStyle w:val="ListParagraph"/>
        <w:numPr>
          <w:ilvl w:val="0"/>
          <w:numId w:val="30"/>
        </w:numPr>
        <w:rPr>
          <w:lang w:val="en-US"/>
        </w:rPr>
      </w:pPr>
      <w:r>
        <w:rPr>
          <w:lang w:val="en-US"/>
        </w:rPr>
        <w:t xml:space="preserve">that </w:t>
      </w:r>
      <w:r w:rsidR="00157E52">
        <w:rPr>
          <w:lang w:val="en-US"/>
        </w:rPr>
        <w:t xml:space="preserve">monitoring </w:t>
      </w:r>
      <w:r w:rsidR="00783EA7" w:rsidRPr="00AC1CC3">
        <w:rPr>
          <w:lang w:val="en-US"/>
        </w:rPr>
        <w:t>is about saving lives and is not punitive;</w:t>
      </w:r>
    </w:p>
    <w:p w:rsidR="00783EA7" w:rsidRPr="00AC1CC3" w:rsidRDefault="00C01322" w:rsidP="00AC1CC3">
      <w:pPr>
        <w:pStyle w:val="ListParagraph"/>
        <w:numPr>
          <w:ilvl w:val="0"/>
          <w:numId w:val="30"/>
        </w:numPr>
        <w:rPr>
          <w:lang w:val="en-US"/>
        </w:rPr>
      </w:pPr>
      <w:r>
        <w:rPr>
          <w:lang w:val="en-US"/>
        </w:rPr>
        <w:t xml:space="preserve">the medical </w:t>
      </w:r>
      <w:r w:rsidR="00783EA7" w:rsidRPr="00AC1CC3">
        <w:rPr>
          <w:lang w:val="en-US"/>
        </w:rPr>
        <w:t>risk</w:t>
      </w:r>
      <w:r w:rsidR="00157E52">
        <w:rPr>
          <w:lang w:val="en-US"/>
        </w:rPr>
        <w:t>s</w:t>
      </w:r>
      <w:r w:rsidR="00783EA7" w:rsidRPr="00AC1CC3">
        <w:rPr>
          <w:lang w:val="en-US"/>
        </w:rPr>
        <w:t xml:space="preserve"> </w:t>
      </w:r>
      <w:r w:rsidR="00157E52">
        <w:rPr>
          <w:lang w:val="en-US"/>
        </w:rPr>
        <w:t xml:space="preserve">of </w:t>
      </w:r>
      <w:r w:rsidR="00783EA7" w:rsidRPr="00AC1CC3">
        <w:rPr>
          <w:lang w:val="en-US"/>
        </w:rPr>
        <w:t xml:space="preserve">high </w:t>
      </w:r>
      <w:r>
        <w:rPr>
          <w:lang w:val="en-US"/>
        </w:rPr>
        <w:t xml:space="preserve">dose </w:t>
      </w:r>
      <w:r w:rsidR="00783EA7" w:rsidRPr="00AC1CC3">
        <w:rPr>
          <w:lang w:val="en-US"/>
        </w:rPr>
        <w:t xml:space="preserve">opioid use </w:t>
      </w:r>
      <w:r>
        <w:rPr>
          <w:lang w:val="en-US"/>
        </w:rPr>
        <w:t xml:space="preserve">needs to </w:t>
      </w:r>
      <w:r w:rsidR="00783EA7" w:rsidRPr="00AC1CC3">
        <w:rPr>
          <w:lang w:val="en-US"/>
        </w:rPr>
        <w:t>be emphasized;</w:t>
      </w:r>
    </w:p>
    <w:p w:rsidR="00ED300F" w:rsidRPr="00AC1CC3" w:rsidRDefault="00C01322" w:rsidP="00AC1CC3">
      <w:pPr>
        <w:pStyle w:val="ListParagraph"/>
        <w:numPr>
          <w:ilvl w:val="0"/>
          <w:numId w:val="30"/>
        </w:numPr>
        <w:rPr>
          <w:lang w:val="en-US"/>
        </w:rPr>
      </w:pPr>
      <w:r>
        <w:rPr>
          <w:lang w:val="en-US"/>
        </w:rPr>
        <w:t xml:space="preserve">RTPM </w:t>
      </w:r>
      <w:r w:rsidR="00783EA7" w:rsidRPr="00AC1CC3">
        <w:rPr>
          <w:lang w:val="en-US"/>
        </w:rPr>
        <w:t>only provide</w:t>
      </w:r>
      <w:r w:rsidR="00157E52">
        <w:rPr>
          <w:lang w:val="en-US"/>
        </w:rPr>
        <w:t>s</w:t>
      </w:r>
      <w:r w:rsidR="00783EA7" w:rsidRPr="00AC1CC3">
        <w:rPr>
          <w:lang w:val="en-US"/>
        </w:rPr>
        <w:t xml:space="preserve"> prescribers and pharmacists with data;</w:t>
      </w:r>
    </w:p>
    <w:p w:rsidR="00C01322" w:rsidRDefault="003B4DE3" w:rsidP="003B4DE3">
      <w:pPr>
        <w:pStyle w:val="ListParagraph"/>
        <w:numPr>
          <w:ilvl w:val="0"/>
          <w:numId w:val="30"/>
        </w:numPr>
        <w:rPr>
          <w:lang w:val="en-US"/>
        </w:rPr>
      </w:pPr>
      <w:r>
        <w:rPr>
          <w:lang w:val="en-US"/>
        </w:rPr>
        <w:t>not all pr</w:t>
      </w:r>
      <w:r w:rsidR="00AC1CC3" w:rsidRPr="00AC1CC3">
        <w:rPr>
          <w:lang w:val="en-US"/>
        </w:rPr>
        <w:t xml:space="preserve">escribers </w:t>
      </w:r>
      <w:r>
        <w:rPr>
          <w:lang w:val="en-US"/>
        </w:rPr>
        <w:t>m</w:t>
      </w:r>
      <w:r w:rsidR="00C01322">
        <w:rPr>
          <w:lang w:val="en-US"/>
        </w:rPr>
        <w:t xml:space="preserve">ight </w:t>
      </w:r>
      <w:r>
        <w:rPr>
          <w:lang w:val="en-US"/>
        </w:rPr>
        <w:t xml:space="preserve">have </w:t>
      </w:r>
      <w:r w:rsidR="00C01322">
        <w:rPr>
          <w:lang w:val="en-US"/>
        </w:rPr>
        <w:t xml:space="preserve">the required </w:t>
      </w:r>
      <w:r w:rsidR="00AC1CC3" w:rsidRPr="00AC1CC3">
        <w:rPr>
          <w:lang w:val="en-US"/>
        </w:rPr>
        <w:t xml:space="preserve">skills </w:t>
      </w:r>
      <w:r>
        <w:rPr>
          <w:lang w:val="en-US"/>
        </w:rPr>
        <w:t>to manag</w:t>
      </w:r>
      <w:r w:rsidR="00172EE3">
        <w:rPr>
          <w:lang w:val="en-US"/>
        </w:rPr>
        <w:t>e</w:t>
      </w:r>
      <w:r w:rsidR="00C01322">
        <w:rPr>
          <w:lang w:val="en-US"/>
        </w:rPr>
        <w:t xml:space="preserve"> problematic prescription medicine use; and</w:t>
      </w:r>
    </w:p>
    <w:p w:rsidR="00783EA7" w:rsidRPr="00C01322" w:rsidRDefault="00C01322" w:rsidP="00AC1CC3">
      <w:pPr>
        <w:pStyle w:val="ListParagraph"/>
        <w:numPr>
          <w:ilvl w:val="0"/>
          <w:numId w:val="30"/>
        </w:numPr>
        <w:rPr>
          <w:lang w:val="en-US"/>
        </w:rPr>
      </w:pPr>
      <w:r w:rsidRPr="00C01322">
        <w:rPr>
          <w:lang w:val="en-US"/>
        </w:rPr>
        <w:t xml:space="preserve">best pain management may not always involve </w:t>
      </w:r>
      <w:r w:rsidR="003B4DE3" w:rsidRPr="00C01322">
        <w:rPr>
          <w:lang w:val="en-US"/>
        </w:rPr>
        <w:t>“jumping straight to a prescription”</w:t>
      </w:r>
      <w:r w:rsidRPr="00C01322">
        <w:rPr>
          <w:lang w:val="en-US"/>
        </w:rPr>
        <w:t>.</w:t>
      </w:r>
    </w:p>
    <w:p w:rsidR="00282672" w:rsidRDefault="00282672" w:rsidP="00052FE3">
      <w:pPr>
        <w:pStyle w:val="ListParagraph"/>
        <w:numPr>
          <w:ilvl w:val="0"/>
          <w:numId w:val="30"/>
        </w:numPr>
        <w:spacing w:after="0"/>
      </w:pPr>
      <w:r>
        <w:br w:type="page"/>
      </w:r>
    </w:p>
    <w:p w:rsidR="00ED300F" w:rsidRPr="00DF3F65" w:rsidRDefault="00052FE3" w:rsidP="00ED300F">
      <w:pPr>
        <w:pStyle w:val="Heading2"/>
        <w:ind w:left="454" w:hanging="454"/>
        <w:rPr>
          <w:lang w:val="en-US"/>
        </w:rPr>
      </w:pPr>
      <w:bookmarkStart w:id="26" w:name="_Toc17973107"/>
      <w:bookmarkStart w:id="27" w:name="_Toc18414685"/>
      <w:r>
        <w:rPr>
          <w:lang w:val="en-US"/>
        </w:rPr>
        <w:lastRenderedPageBreak/>
        <w:t>A</w:t>
      </w:r>
      <w:r w:rsidR="00ED300F" w:rsidRPr="00D349CD">
        <w:rPr>
          <w:lang w:val="en-US"/>
        </w:rPr>
        <w:t>ccess</w:t>
      </w:r>
      <w:r w:rsidR="00ED300F">
        <w:rPr>
          <w:lang w:val="en-US"/>
        </w:rPr>
        <w:t xml:space="preserve"> to R</w:t>
      </w:r>
      <w:r>
        <w:rPr>
          <w:lang w:val="en-US"/>
        </w:rPr>
        <w:t xml:space="preserve">TPM </w:t>
      </w:r>
      <w:bookmarkEnd w:id="26"/>
      <w:r w:rsidR="00ED300F" w:rsidRPr="00D349CD">
        <w:rPr>
          <w:lang w:val="en-US"/>
        </w:rPr>
        <w:t>data</w:t>
      </w:r>
      <w:r>
        <w:rPr>
          <w:lang w:val="en-US"/>
        </w:rPr>
        <w:t xml:space="preserve"> by other regulators</w:t>
      </w:r>
      <w:bookmarkEnd w:id="27"/>
    </w:p>
    <w:p w:rsidR="00312C07" w:rsidRDefault="00ED300F" w:rsidP="00312C07">
      <w:pPr>
        <w:rPr>
          <w:lang w:val="en-US"/>
        </w:rPr>
      </w:pPr>
      <w:r>
        <w:t>Workshop p</w:t>
      </w:r>
      <w:r w:rsidRPr="00DF3F65">
        <w:t xml:space="preserve">articipants were </w:t>
      </w:r>
      <w:r>
        <w:t xml:space="preserve">asked if </w:t>
      </w:r>
      <w:r w:rsidR="00312C07">
        <w:t xml:space="preserve">bodies such as </w:t>
      </w:r>
      <w:r>
        <w:t xml:space="preserve">AHPRA should have access to </w:t>
      </w:r>
      <w:r w:rsidRPr="00D349CD">
        <w:rPr>
          <w:lang w:val="en-US"/>
        </w:rPr>
        <w:t>R</w:t>
      </w:r>
      <w:r w:rsidR="00312C07">
        <w:rPr>
          <w:lang w:val="en-US"/>
        </w:rPr>
        <w:t>TPM</w:t>
      </w:r>
      <w:r w:rsidRPr="00D349CD">
        <w:rPr>
          <w:lang w:val="en-US"/>
        </w:rPr>
        <w:t xml:space="preserve"> data</w:t>
      </w:r>
      <w:r w:rsidR="00312C07">
        <w:rPr>
          <w:lang w:val="en-US"/>
        </w:rPr>
        <w:t>, where this may have a bearing on the competent practice by prescribers or pharmacists.  Based on existing data requests; p</w:t>
      </w:r>
      <w:r>
        <w:rPr>
          <w:lang w:val="en-US"/>
        </w:rPr>
        <w:t xml:space="preserve">articipants were asked </w:t>
      </w:r>
      <w:r w:rsidR="00312C07">
        <w:rPr>
          <w:lang w:val="en-US"/>
        </w:rPr>
        <w:t>regarding the relevance of access to:</w:t>
      </w:r>
    </w:p>
    <w:p w:rsidR="00312C07" w:rsidRPr="00312C07" w:rsidRDefault="00312C07" w:rsidP="00312C07">
      <w:pPr>
        <w:pStyle w:val="ListParagraph"/>
        <w:numPr>
          <w:ilvl w:val="0"/>
          <w:numId w:val="47"/>
        </w:numPr>
        <w:rPr>
          <w:lang w:val="en-US"/>
        </w:rPr>
      </w:pPr>
      <w:r>
        <w:t>a p</w:t>
      </w:r>
      <w:r w:rsidR="00ED300F" w:rsidRPr="00DF3F65">
        <w:t>rescriber</w:t>
      </w:r>
      <w:r>
        <w:t xml:space="preserve">s </w:t>
      </w:r>
      <w:r w:rsidR="00ED300F" w:rsidRPr="00DF3F65">
        <w:t xml:space="preserve">pattern </w:t>
      </w:r>
      <w:r w:rsidR="00BD5D31">
        <w:t xml:space="preserve">of </w:t>
      </w:r>
      <w:r w:rsidR="00ED300F" w:rsidRPr="00DF3F65">
        <w:t>S</w:t>
      </w:r>
      <w:r w:rsidR="00ED300F">
        <w:t xml:space="preserve">chedule </w:t>
      </w:r>
      <w:r w:rsidR="00ED300F" w:rsidRPr="00DF3F65">
        <w:t>8 and S</w:t>
      </w:r>
      <w:r w:rsidR="00ED300F">
        <w:t xml:space="preserve">chedule 4 </w:t>
      </w:r>
      <w:r>
        <w:t>R</w:t>
      </w:r>
      <w:r w:rsidR="00ED300F">
        <w:t>eportable</w:t>
      </w:r>
      <w:r>
        <w:t xml:space="preserve"> prescriptions;</w:t>
      </w:r>
    </w:p>
    <w:p w:rsidR="00312C07" w:rsidRDefault="00312C07" w:rsidP="00312C07">
      <w:pPr>
        <w:pStyle w:val="ListParagraph"/>
        <w:numPr>
          <w:ilvl w:val="0"/>
          <w:numId w:val="47"/>
        </w:numPr>
      </w:pPr>
      <w:r>
        <w:t>c</w:t>
      </w:r>
      <w:r w:rsidR="00ED300F" w:rsidRPr="00DF3F65">
        <w:t xml:space="preserve">orrespondence </w:t>
      </w:r>
      <w:r>
        <w:t xml:space="preserve">from the </w:t>
      </w:r>
      <w:r w:rsidR="00ED300F" w:rsidRPr="00DF3F65">
        <w:t>D</w:t>
      </w:r>
      <w:r w:rsidR="00ED300F">
        <w:t xml:space="preserve">epartment of Health regarding </w:t>
      </w:r>
      <w:r>
        <w:t xml:space="preserve">authorisation of </w:t>
      </w:r>
      <w:r w:rsidR="00ED300F">
        <w:t xml:space="preserve"> prescribing</w:t>
      </w:r>
      <w:r>
        <w:t>; or</w:t>
      </w:r>
    </w:p>
    <w:p w:rsidR="00ED300F" w:rsidRDefault="00312C07" w:rsidP="00312C07">
      <w:pPr>
        <w:pStyle w:val="ListParagraph"/>
        <w:numPr>
          <w:ilvl w:val="0"/>
          <w:numId w:val="47"/>
        </w:numPr>
      </w:pPr>
      <w:r>
        <w:t>n</w:t>
      </w:r>
      <w:r w:rsidR="00ED300F" w:rsidRPr="00DF3F65">
        <w:t>o acces</w:t>
      </w:r>
      <w:r>
        <w:t>s</w:t>
      </w:r>
      <w:r w:rsidR="00ED300F" w:rsidRPr="00DF3F65">
        <w:t>.</w:t>
      </w:r>
    </w:p>
    <w:p w:rsidR="00C64E5B" w:rsidRDefault="00ED300F" w:rsidP="00052FE3">
      <w:pPr>
        <w:jc w:val="center"/>
        <w:rPr>
          <w:sz w:val="20"/>
        </w:rPr>
      </w:pPr>
      <w:r>
        <w:rPr>
          <w:noProof/>
          <w:lang w:eastAsia="en-AU"/>
        </w:rPr>
        <w:drawing>
          <wp:inline distT="0" distB="0" distL="0" distR="0" wp14:anchorId="72DC5E72" wp14:editId="0B202870">
            <wp:extent cx="4972050" cy="1905000"/>
            <wp:effectExtent l="0" t="0" r="19050" b="1905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2FE3" w:rsidRDefault="00ED300F" w:rsidP="00052FE3">
      <w:pPr>
        <w:ind w:left="720" w:firstLine="720"/>
        <w:rPr>
          <w:sz w:val="20"/>
        </w:rPr>
      </w:pPr>
      <w:r w:rsidRPr="00083981">
        <w:rPr>
          <w:sz w:val="20"/>
        </w:rPr>
        <w:t>DoH</w:t>
      </w:r>
      <w:r w:rsidR="00052FE3">
        <w:rPr>
          <w:sz w:val="20"/>
        </w:rPr>
        <w:t xml:space="preserve"> =</w:t>
      </w:r>
      <w:r w:rsidRPr="00083981">
        <w:rPr>
          <w:sz w:val="20"/>
        </w:rPr>
        <w:t xml:space="preserve"> Department of Health</w:t>
      </w:r>
    </w:p>
    <w:p w:rsidR="00052FE3" w:rsidRDefault="00ED300F" w:rsidP="00052FE3">
      <w:pPr>
        <w:ind w:left="720" w:firstLine="720"/>
        <w:rPr>
          <w:sz w:val="20"/>
        </w:rPr>
      </w:pPr>
      <w:r w:rsidRPr="00083981">
        <w:rPr>
          <w:sz w:val="20"/>
        </w:rPr>
        <w:t>S8</w:t>
      </w:r>
      <w:r w:rsidR="00052FE3">
        <w:rPr>
          <w:sz w:val="20"/>
        </w:rPr>
        <w:t xml:space="preserve"> =</w:t>
      </w:r>
      <w:r w:rsidRPr="00083981">
        <w:rPr>
          <w:sz w:val="20"/>
        </w:rPr>
        <w:t xml:space="preserve"> Schedule 8 medicine</w:t>
      </w:r>
    </w:p>
    <w:p w:rsidR="00E07470" w:rsidRDefault="00ED300F" w:rsidP="00052FE3">
      <w:pPr>
        <w:ind w:left="720" w:firstLine="720"/>
        <w:rPr>
          <w:sz w:val="20"/>
        </w:rPr>
      </w:pPr>
      <w:r w:rsidRPr="00083981">
        <w:rPr>
          <w:sz w:val="20"/>
        </w:rPr>
        <w:t>S4R</w:t>
      </w:r>
      <w:r w:rsidR="00052FE3">
        <w:rPr>
          <w:sz w:val="20"/>
        </w:rPr>
        <w:t xml:space="preserve"> =</w:t>
      </w:r>
      <w:r w:rsidRPr="00083981">
        <w:rPr>
          <w:sz w:val="20"/>
        </w:rPr>
        <w:t xml:space="preserve"> Schedule 4 reportable medicine</w:t>
      </w:r>
    </w:p>
    <w:p w:rsidR="00ED300F" w:rsidRPr="0022631B" w:rsidRDefault="00ED300F" w:rsidP="00ED300F">
      <w:pPr>
        <w:rPr>
          <w:lang w:val="en-US"/>
        </w:rPr>
      </w:pPr>
      <w:r w:rsidRPr="0022631B">
        <w:rPr>
          <w:rFonts w:cs="Arial"/>
        </w:rPr>
        <w:t xml:space="preserve">Currently </w:t>
      </w:r>
      <w:r>
        <w:rPr>
          <w:rFonts w:cs="Arial"/>
        </w:rPr>
        <w:t>AHPRA</w:t>
      </w:r>
      <w:r w:rsidRPr="0022631B">
        <w:rPr>
          <w:lang w:val="en-US"/>
        </w:rPr>
        <w:t xml:space="preserve"> can </w:t>
      </w:r>
      <w:r w:rsidR="00312C07">
        <w:rPr>
          <w:lang w:val="en-US"/>
        </w:rPr>
        <w:t xml:space="preserve">compel provision of records as part of an investigation.  This would include the </w:t>
      </w:r>
      <w:r w:rsidRPr="0022631B">
        <w:rPr>
          <w:lang w:val="en-US"/>
        </w:rPr>
        <w:t>prescribing history of Schedule 8 medicines.</w:t>
      </w:r>
    </w:p>
    <w:p w:rsidR="00ED300F" w:rsidRDefault="00ED300F" w:rsidP="00ED300F">
      <w:pPr>
        <w:rPr>
          <w:lang w:val="en-US"/>
        </w:rPr>
      </w:pPr>
      <w:r w:rsidRPr="0022631B">
        <w:rPr>
          <w:lang w:val="en-US"/>
        </w:rPr>
        <w:t xml:space="preserve">Workshop participants indicated that </w:t>
      </w:r>
      <w:r>
        <w:rPr>
          <w:lang w:val="en-US"/>
        </w:rPr>
        <w:t>AHPRA</w:t>
      </w:r>
      <w:r w:rsidRPr="0022631B">
        <w:rPr>
          <w:lang w:val="en-US"/>
        </w:rPr>
        <w:t xml:space="preserve"> </w:t>
      </w:r>
      <w:r w:rsidR="00312C07">
        <w:rPr>
          <w:lang w:val="en-US"/>
        </w:rPr>
        <w:t xml:space="preserve">was believed to have a remit that did not extend to </w:t>
      </w:r>
      <w:r w:rsidRPr="0022631B">
        <w:rPr>
          <w:lang w:val="en-US"/>
        </w:rPr>
        <w:t>constructive feedback on prescribing habits.</w:t>
      </w:r>
    </w:p>
    <w:p w:rsidR="002B6E9C" w:rsidRDefault="00ED300F" w:rsidP="00052FE3">
      <w:pPr>
        <w:rPr>
          <w:lang w:val="en-US"/>
        </w:rPr>
      </w:pPr>
      <w:r>
        <w:rPr>
          <w:lang w:val="en-US"/>
        </w:rPr>
        <w:t xml:space="preserve">Participants indicated that </w:t>
      </w:r>
      <w:r w:rsidR="00312C07">
        <w:rPr>
          <w:lang w:val="en-US"/>
        </w:rPr>
        <w:t xml:space="preserve">unrestricted </w:t>
      </w:r>
      <w:r>
        <w:rPr>
          <w:lang w:val="en-US"/>
        </w:rPr>
        <w:t>a</w:t>
      </w:r>
      <w:r w:rsidRPr="0022631B">
        <w:rPr>
          <w:lang w:val="en-US"/>
        </w:rPr>
        <w:t xml:space="preserve">ccess to prescribing history </w:t>
      </w:r>
      <w:r w:rsidR="00312C07">
        <w:rPr>
          <w:lang w:val="en-US"/>
        </w:rPr>
        <w:t xml:space="preserve">for this regulator </w:t>
      </w:r>
      <w:r w:rsidRPr="0022631B">
        <w:rPr>
          <w:lang w:val="en-US"/>
        </w:rPr>
        <w:t xml:space="preserve">may </w:t>
      </w:r>
      <w:r w:rsidR="00312C07">
        <w:rPr>
          <w:lang w:val="en-US"/>
        </w:rPr>
        <w:t xml:space="preserve">help </w:t>
      </w:r>
      <w:r w:rsidRPr="0022631B">
        <w:rPr>
          <w:lang w:val="en-US"/>
        </w:rPr>
        <w:t>identity a small number of prescribers with questionable prescribing habits</w:t>
      </w:r>
      <w:r w:rsidR="00312C07">
        <w:rPr>
          <w:lang w:val="en-US"/>
        </w:rPr>
        <w:t>,</w:t>
      </w:r>
      <w:r w:rsidRPr="0022631B">
        <w:rPr>
          <w:lang w:val="en-US"/>
        </w:rPr>
        <w:t xml:space="preserve"> but </w:t>
      </w:r>
      <w:r w:rsidR="00312C07">
        <w:rPr>
          <w:lang w:val="en-US"/>
        </w:rPr>
        <w:t xml:space="preserve">would </w:t>
      </w:r>
      <w:r w:rsidR="00BD5D31">
        <w:rPr>
          <w:lang w:val="en-US"/>
        </w:rPr>
        <w:t xml:space="preserve">create </w:t>
      </w:r>
      <w:r w:rsidRPr="0022631B">
        <w:rPr>
          <w:lang w:val="en-US"/>
        </w:rPr>
        <w:t xml:space="preserve">unnecessary </w:t>
      </w:r>
      <w:r>
        <w:rPr>
          <w:lang w:val="en-US"/>
        </w:rPr>
        <w:t xml:space="preserve">complications </w:t>
      </w:r>
      <w:r w:rsidR="00312C07">
        <w:rPr>
          <w:lang w:val="en-US"/>
        </w:rPr>
        <w:t xml:space="preserve">for the </w:t>
      </w:r>
      <w:r w:rsidRPr="0022631B">
        <w:rPr>
          <w:lang w:val="en-US"/>
        </w:rPr>
        <w:t xml:space="preserve">larger cohort of </w:t>
      </w:r>
      <w:r w:rsidR="00312C07">
        <w:rPr>
          <w:lang w:val="en-US"/>
        </w:rPr>
        <w:t xml:space="preserve">compliant </w:t>
      </w:r>
      <w:r w:rsidRPr="0022631B">
        <w:rPr>
          <w:lang w:val="en-US"/>
        </w:rPr>
        <w:t>prescribers.</w:t>
      </w:r>
    </w:p>
    <w:p w:rsidR="002B6E9C" w:rsidRDefault="002B6E9C">
      <w:pPr>
        <w:spacing w:after="0"/>
        <w:rPr>
          <w:lang w:val="en-US"/>
        </w:rPr>
      </w:pPr>
      <w:r>
        <w:rPr>
          <w:lang w:val="en-US"/>
        </w:rPr>
        <w:br w:type="page"/>
      </w:r>
    </w:p>
    <w:p w:rsidR="00AC1CC3" w:rsidRPr="007A1C78" w:rsidRDefault="00312C07" w:rsidP="007A1C78">
      <w:pPr>
        <w:pStyle w:val="Heading2"/>
      </w:pPr>
      <w:bookmarkStart w:id="28" w:name="_Toc17973108"/>
      <w:bookmarkStart w:id="29" w:name="_Toc18414686"/>
      <w:r>
        <w:rPr>
          <w:rStyle w:val="Heading3Char"/>
          <w:b/>
          <w:bCs/>
          <w:sz w:val="26"/>
          <w:szCs w:val="26"/>
        </w:rPr>
        <w:t>M</w:t>
      </w:r>
      <w:r w:rsidR="00AC1CC3" w:rsidRPr="007A1C78">
        <w:rPr>
          <w:rStyle w:val="Heading3Char"/>
          <w:b/>
          <w:bCs/>
          <w:sz w:val="26"/>
          <w:szCs w:val="26"/>
        </w:rPr>
        <w:t>onitoring eff</w:t>
      </w:r>
      <w:r>
        <w:rPr>
          <w:rStyle w:val="Heading3Char"/>
          <w:b/>
          <w:bCs/>
          <w:sz w:val="26"/>
          <w:szCs w:val="26"/>
        </w:rPr>
        <w:t>icacy of RTPM</w:t>
      </w:r>
      <w:bookmarkEnd w:id="28"/>
      <w:bookmarkEnd w:id="29"/>
    </w:p>
    <w:p w:rsidR="00312C07" w:rsidRDefault="00AC1CC3" w:rsidP="00312C07">
      <w:r w:rsidRPr="00C64878">
        <w:t xml:space="preserve">Workshop participants were asked to rank </w:t>
      </w:r>
      <w:r>
        <w:t xml:space="preserve">four </w:t>
      </w:r>
      <w:r w:rsidR="00312C07">
        <w:t xml:space="preserve">identified </w:t>
      </w:r>
      <w:r w:rsidRPr="00C64878">
        <w:t xml:space="preserve">factors </w:t>
      </w:r>
      <w:r w:rsidR="00312C07">
        <w:t>as valuable to evaluate the efficacy of RTPM.</w:t>
      </w:r>
    </w:p>
    <w:p w:rsidR="00E07470" w:rsidRDefault="000049B4" w:rsidP="00312C07">
      <w:pPr>
        <w:jc w:val="center"/>
      </w:pPr>
      <w:r>
        <w:rPr>
          <w:noProof/>
          <w:lang w:eastAsia="en-AU"/>
        </w:rPr>
        <w:drawing>
          <wp:inline distT="0" distB="0" distL="0" distR="0" wp14:anchorId="64F56FDC" wp14:editId="36D12D01">
            <wp:extent cx="4581525" cy="2752725"/>
            <wp:effectExtent l="0" t="0" r="9525" b="952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7368" w:rsidRDefault="00F57368" w:rsidP="00312C07">
      <w:pPr>
        <w:ind w:left="1440" w:firstLine="720"/>
        <w:rPr>
          <w:noProof/>
          <w:sz w:val="20"/>
          <w:lang w:eastAsia="en-AU"/>
        </w:rPr>
      </w:pPr>
      <w:r w:rsidRPr="00D40832">
        <w:rPr>
          <w:noProof/>
          <w:sz w:val="20"/>
          <w:lang w:eastAsia="en-AU"/>
        </w:rPr>
        <w:t>S8: Schedule 8 medicine, S4R: S</w:t>
      </w:r>
      <w:r w:rsidR="009C7191">
        <w:rPr>
          <w:noProof/>
          <w:sz w:val="20"/>
          <w:lang w:eastAsia="en-AU"/>
        </w:rPr>
        <w:t>chedule 4 “reportable” medicine.</w:t>
      </w:r>
    </w:p>
    <w:p w:rsidR="007A1C78" w:rsidRDefault="00F57368" w:rsidP="00F57368">
      <w:r w:rsidRPr="00C64878">
        <w:t xml:space="preserve">Workshop participants strongly agreed that a reduction in deaths from </w:t>
      </w:r>
      <w:r w:rsidR="00312C07">
        <w:t xml:space="preserve">prescription </w:t>
      </w:r>
      <w:r w:rsidRPr="00C64878">
        <w:t xml:space="preserve">opiate use </w:t>
      </w:r>
      <w:r w:rsidR="00312C07">
        <w:t xml:space="preserve">would be the primary </w:t>
      </w:r>
      <w:r>
        <w:t xml:space="preserve">indicator </w:t>
      </w:r>
      <w:r w:rsidR="00312C07">
        <w:t>of efficacy of RTPM</w:t>
      </w:r>
      <w:r>
        <w:t>.</w:t>
      </w:r>
    </w:p>
    <w:p w:rsidR="00F57368" w:rsidRPr="00D02FFA" w:rsidRDefault="00F57368" w:rsidP="00EB6DF3">
      <w:pPr>
        <w:pStyle w:val="Heading2"/>
      </w:pPr>
      <w:bookmarkStart w:id="30" w:name="_Toc17973109"/>
      <w:bookmarkStart w:id="31" w:name="_Toc18414687"/>
      <w:r w:rsidRPr="00D02FFA">
        <w:t>Transition period</w:t>
      </w:r>
      <w:bookmarkEnd w:id="30"/>
      <w:bookmarkEnd w:id="31"/>
    </w:p>
    <w:p w:rsidR="00F57368" w:rsidRDefault="00F57368" w:rsidP="00F57368">
      <w:pPr>
        <w:rPr>
          <w:lang w:val="en-US"/>
        </w:rPr>
      </w:pPr>
      <w:r w:rsidRPr="00C64878">
        <w:rPr>
          <w:lang w:val="en-US"/>
        </w:rPr>
        <w:t xml:space="preserve">Workshop participants were asked to choose </w:t>
      </w:r>
      <w:r w:rsidR="00FC339C">
        <w:rPr>
          <w:lang w:val="en-US"/>
        </w:rPr>
        <w:t>between</w:t>
      </w:r>
      <w:r w:rsidRPr="00C64878">
        <w:rPr>
          <w:lang w:val="en-US"/>
        </w:rPr>
        <w:t xml:space="preserve"> options for a transition period</w:t>
      </w:r>
      <w:r w:rsidR="00FC339C">
        <w:rPr>
          <w:lang w:val="en-US"/>
        </w:rPr>
        <w:t xml:space="preserve"> in the introduction of RTPM before </w:t>
      </w:r>
      <w:r>
        <w:rPr>
          <w:lang w:val="en-US"/>
        </w:rPr>
        <w:t xml:space="preserve">prescribers and pharmacists will be mandated to check and use the system. </w:t>
      </w:r>
      <w:r w:rsidR="00EB6DF3">
        <w:rPr>
          <w:lang w:val="en-US"/>
        </w:rPr>
        <w:t>Options proposed included:</w:t>
      </w:r>
      <w:r>
        <w:rPr>
          <w:lang w:val="en-US"/>
        </w:rPr>
        <w:t xml:space="preserve"> </w:t>
      </w:r>
    </w:p>
    <w:p w:rsidR="00F57368" w:rsidRDefault="00F57368" w:rsidP="00F57368">
      <w:pPr>
        <w:numPr>
          <w:ilvl w:val="0"/>
          <w:numId w:val="34"/>
        </w:numPr>
        <w:spacing w:after="0"/>
        <w:rPr>
          <w:rFonts w:cs="Arial"/>
        </w:rPr>
      </w:pPr>
      <w:r w:rsidRPr="005702FF">
        <w:rPr>
          <w:rFonts w:cs="Arial"/>
        </w:rPr>
        <w:t>6 months;</w:t>
      </w:r>
    </w:p>
    <w:p w:rsidR="00F57368" w:rsidRDefault="00F57368" w:rsidP="00F57368">
      <w:pPr>
        <w:numPr>
          <w:ilvl w:val="0"/>
          <w:numId w:val="34"/>
        </w:numPr>
        <w:spacing w:after="0"/>
        <w:rPr>
          <w:rFonts w:cs="Arial"/>
        </w:rPr>
      </w:pPr>
      <w:r>
        <w:rPr>
          <w:rFonts w:cs="Arial"/>
        </w:rPr>
        <w:t>12 months</w:t>
      </w:r>
      <w:r w:rsidR="00157E52">
        <w:rPr>
          <w:rFonts w:cs="Arial"/>
        </w:rPr>
        <w:t>;</w:t>
      </w:r>
      <w:r>
        <w:rPr>
          <w:rFonts w:cs="Arial"/>
        </w:rPr>
        <w:t xml:space="preserve"> or</w:t>
      </w:r>
    </w:p>
    <w:p w:rsidR="00F57368" w:rsidRPr="00157E52" w:rsidRDefault="00F57368" w:rsidP="00F57368">
      <w:pPr>
        <w:numPr>
          <w:ilvl w:val="0"/>
          <w:numId w:val="34"/>
        </w:numPr>
        <w:spacing w:after="0"/>
        <w:rPr>
          <w:rFonts w:cs="Arial"/>
          <w:lang w:val="en-US"/>
        </w:rPr>
      </w:pPr>
      <w:r w:rsidRPr="005702FF">
        <w:rPr>
          <w:rFonts w:cs="Arial"/>
        </w:rPr>
        <w:t>18 months</w:t>
      </w:r>
      <w:r w:rsidR="00157E52">
        <w:rPr>
          <w:rFonts w:cs="Arial"/>
        </w:rPr>
        <w:t>.</w:t>
      </w:r>
    </w:p>
    <w:p w:rsidR="00157E52" w:rsidRPr="005702FF" w:rsidRDefault="00157E52" w:rsidP="00157E52">
      <w:pPr>
        <w:spacing w:after="0"/>
        <w:rPr>
          <w:rFonts w:cs="Arial"/>
          <w:lang w:val="en-US"/>
        </w:rPr>
      </w:pPr>
    </w:p>
    <w:p w:rsidR="00F57368" w:rsidRDefault="00F57368" w:rsidP="00F57368">
      <w:pPr>
        <w:rPr>
          <w:lang w:val="en-US"/>
        </w:rPr>
      </w:pPr>
      <w:r w:rsidRPr="00C64878">
        <w:rPr>
          <w:lang w:val="en-US"/>
        </w:rPr>
        <w:t xml:space="preserve">Workshop participants </w:t>
      </w:r>
      <w:r>
        <w:rPr>
          <w:lang w:val="en-US"/>
        </w:rPr>
        <w:t>strongly supported a 12 month transition period.</w:t>
      </w:r>
    </w:p>
    <w:p w:rsidR="00F57368" w:rsidRPr="00157E52" w:rsidRDefault="00157E52" w:rsidP="00157E52">
      <w:pPr>
        <w:pStyle w:val="Heading2"/>
      </w:pPr>
      <w:bookmarkStart w:id="32" w:name="_Toc18414688"/>
      <w:r w:rsidRPr="00157E52">
        <w:t>T</w:t>
      </w:r>
      <w:r w:rsidR="00FC0061" w:rsidRPr="00157E52">
        <w:t>iming</w:t>
      </w:r>
      <w:r w:rsidR="00BB4F4B" w:rsidRPr="00157E52">
        <w:t xml:space="preserve"> of alert</w:t>
      </w:r>
      <w:r>
        <w:t>s</w:t>
      </w:r>
      <w:bookmarkEnd w:id="32"/>
    </w:p>
    <w:p w:rsidR="00157E52" w:rsidRDefault="00F57368" w:rsidP="00282672">
      <w:pPr>
        <w:rPr>
          <w:lang w:val="en-US"/>
        </w:rPr>
      </w:pPr>
      <w:r>
        <w:rPr>
          <w:lang w:val="en-US"/>
        </w:rPr>
        <w:t xml:space="preserve">Workshop participants indicated that a patient alert should be visible on their system as early as possible in the </w:t>
      </w:r>
      <w:r w:rsidR="00EB6DF3">
        <w:rPr>
          <w:lang w:val="en-US"/>
        </w:rPr>
        <w:t xml:space="preserve">normal patient </w:t>
      </w:r>
      <w:r>
        <w:rPr>
          <w:lang w:val="en-US"/>
        </w:rPr>
        <w:t>consultation process</w:t>
      </w:r>
      <w:r w:rsidR="00282672">
        <w:rPr>
          <w:lang w:val="en-US"/>
        </w:rPr>
        <w:t>.</w:t>
      </w:r>
    </w:p>
    <w:p w:rsidR="00BB4F4B" w:rsidRPr="00157E52" w:rsidRDefault="00157E52" w:rsidP="00BB4F4B">
      <w:pPr>
        <w:pStyle w:val="Heading2"/>
        <w:rPr>
          <w:lang w:val="en-US"/>
        </w:rPr>
      </w:pPr>
      <w:bookmarkStart w:id="33" w:name="_Toc18414689"/>
      <w:r w:rsidRPr="00157E52">
        <w:rPr>
          <w:lang w:val="en-US"/>
        </w:rPr>
        <w:t>Next Steps</w:t>
      </w:r>
      <w:bookmarkEnd w:id="33"/>
    </w:p>
    <w:p w:rsidR="00EB6DF3" w:rsidRDefault="00EB6DF3" w:rsidP="00BB4F4B">
      <w:pPr>
        <w:rPr>
          <w:lang w:val="en-US"/>
        </w:rPr>
      </w:pPr>
      <w:r>
        <w:rPr>
          <w:lang w:val="en-US"/>
        </w:rPr>
        <w:t>The next steps to implement RTPM in Western Australia were outlined to participants:</w:t>
      </w:r>
    </w:p>
    <w:p w:rsidR="00EB6DF3" w:rsidRDefault="00EB6DF3" w:rsidP="00BB4F4B">
      <w:pPr>
        <w:pStyle w:val="ListParagraph"/>
        <w:numPr>
          <w:ilvl w:val="0"/>
          <w:numId w:val="48"/>
        </w:numPr>
        <w:rPr>
          <w:lang w:val="en-US"/>
        </w:rPr>
      </w:pPr>
      <w:r>
        <w:rPr>
          <w:lang w:val="en-US"/>
        </w:rPr>
        <w:t>t</w:t>
      </w:r>
      <w:r w:rsidR="00BB4F4B" w:rsidRPr="00EB6DF3">
        <w:rPr>
          <w:lang w:val="en-US"/>
        </w:rPr>
        <w:t>he existing</w:t>
      </w:r>
      <w:r w:rsidR="002376E4" w:rsidRPr="00EB6DF3">
        <w:rPr>
          <w:lang w:val="en-US"/>
        </w:rPr>
        <w:t xml:space="preserve"> </w:t>
      </w:r>
      <w:r w:rsidRPr="00EB6DF3">
        <w:rPr>
          <w:lang w:val="en-US"/>
        </w:rPr>
        <w:t xml:space="preserve">Department </w:t>
      </w:r>
      <w:r>
        <w:rPr>
          <w:lang w:val="en-US"/>
        </w:rPr>
        <w:t>o</w:t>
      </w:r>
      <w:r w:rsidRPr="00EB6DF3">
        <w:rPr>
          <w:lang w:val="en-US"/>
        </w:rPr>
        <w:t xml:space="preserve">f Health </w:t>
      </w:r>
      <w:r>
        <w:rPr>
          <w:lang w:val="en-US"/>
        </w:rPr>
        <w:t xml:space="preserve">database for </w:t>
      </w:r>
      <w:r w:rsidR="002376E4" w:rsidRPr="00EB6DF3">
        <w:rPr>
          <w:lang w:val="en-US"/>
        </w:rPr>
        <w:t>monitoring</w:t>
      </w:r>
      <w:r w:rsidR="00BB4F4B" w:rsidRPr="00EB6DF3">
        <w:rPr>
          <w:lang w:val="en-US"/>
        </w:rPr>
        <w:t xml:space="preserve"> Schedule 8 medicines</w:t>
      </w:r>
      <w:r>
        <w:rPr>
          <w:lang w:val="en-US"/>
        </w:rPr>
        <w:t>;</w:t>
      </w:r>
      <w:r w:rsidR="00BB4F4B" w:rsidRPr="00EB6DF3">
        <w:rPr>
          <w:lang w:val="en-US"/>
        </w:rPr>
        <w:t xml:space="preserve"> </w:t>
      </w:r>
    </w:p>
    <w:p w:rsidR="00EB6DF3" w:rsidRDefault="00EB6DF3" w:rsidP="00BB4F4B">
      <w:pPr>
        <w:pStyle w:val="ListParagraph"/>
        <w:numPr>
          <w:ilvl w:val="0"/>
          <w:numId w:val="48"/>
        </w:numPr>
        <w:rPr>
          <w:lang w:val="en-US"/>
        </w:rPr>
      </w:pPr>
      <w:r w:rsidRPr="00EB6DF3">
        <w:rPr>
          <w:lang w:val="en-US"/>
        </w:rPr>
        <w:t xml:space="preserve">the new database </w:t>
      </w:r>
      <w:r w:rsidR="00BB4F4B" w:rsidRPr="00EB6DF3">
        <w:rPr>
          <w:lang w:val="en-US"/>
        </w:rPr>
        <w:t xml:space="preserve">will interface with the </w:t>
      </w:r>
      <w:r w:rsidRPr="00EB6DF3">
        <w:rPr>
          <w:lang w:val="en-US"/>
        </w:rPr>
        <w:t xml:space="preserve">Commonwealth’s </w:t>
      </w:r>
      <w:r w:rsidR="00BB4F4B" w:rsidRPr="00EB6DF3">
        <w:rPr>
          <w:lang w:val="en-US"/>
        </w:rPr>
        <w:t>NDE</w:t>
      </w:r>
      <w:r w:rsidRPr="00EB6DF3">
        <w:rPr>
          <w:lang w:val="en-US"/>
        </w:rPr>
        <w:t>;</w:t>
      </w:r>
    </w:p>
    <w:p w:rsidR="00EB6DF3" w:rsidRDefault="00EB6DF3" w:rsidP="00BB4F4B">
      <w:pPr>
        <w:pStyle w:val="ListParagraph"/>
        <w:numPr>
          <w:ilvl w:val="0"/>
          <w:numId w:val="48"/>
        </w:numPr>
        <w:rPr>
          <w:lang w:val="en-US"/>
        </w:rPr>
      </w:pPr>
      <w:r>
        <w:rPr>
          <w:lang w:val="en-US"/>
        </w:rPr>
        <w:t>a</w:t>
      </w:r>
      <w:r w:rsidR="002376E4" w:rsidRPr="00EB6DF3">
        <w:rPr>
          <w:lang w:val="en-US"/>
        </w:rPr>
        <w:t>ccess to the NDE</w:t>
      </w:r>
      <w:r>
        <w:rPr>
          <w:lang w:val="en-US"/>
        </w:rPr>
        <w:t xml:space="preserve"> </w:t>
      </w:r>
      <w:r w:rsidR="002376E4" w:rsidRPr="00EB6DF3">
        <w:rPr>
          <w:lang w:val="en-US"/>
        </w:rPr>
        <w:t xml:space="preserve">will be </w:t>
      </w:r>
      <w:r>
        <w:rPr>
          <w:lang w:val="en-US"/>
        </w:rPr>
        <w:t xml:space="preserve">opened </w:t>
      </w:r>
      <w:r w:rsidR="002376E4" w:rsidRPr="00EB6DF3">
        <w:rPr>
          <w:lang w:val="en-US"/>
        </w:rPr>
        <w:t>to prescribers and pharmacists</w:t>
      </w:r>
      <w:r>
        <w:rPr>
          <w:lang w:val="en-US"/>
        </w:rPr>
        <w:t>;</w:t>
      </w:r>
    </w:p>
    <w:p w:rsidR="00EB6DF3" w:rsidRDefault="00EB6DF3" w:rsidP="00157E52">
      <w:pPr>
        <w:pStyle w:val="ListParagraph"/>
        <w:numPr>
          <w:ilvl w:val="0"/>
          <w:numId w:val="48"/>
        </w:numPr>
        <w:rPr>
          <w:lang w:val="en-US"/>
        </w:rPr>
      </w:pPr>
      <w:r>
        <w:rPr>
          <w:lang w:val="en-US"/>
        </w:rPr>
        <w:t>a</w:t>
      </w:r>
      <w:r w:rsidR="00BB4F4B" w:rsidRPr="00EB6DF3">
        <w:rPr>
          <w:lang w:val="en-US"/>
        </w:rPr>
        <w:t xml:space="preserve"> transition period </w:t>
      </w:r>
      <w:r>
        <w:rPr>
          <w:lang w:val="en-US"/>
        </w:rPr>
        <w:t xml:space="preserve">is anticipated to occur prior </w:t>
      </w:r>
      <w:r w:rsidR="00BB4F4B" w:rsidRPr="00EB6DF3">
        <w:rPr>
          <w:lang w:val="en-US"/>
        </w:rPr>
        <w:t xml:space="preserve">before </w:t>
      </w:r>
      <w:r>
        <w:rPr>
          <w:lang w:val="en-US"/>
        </w:rPr>
        <w:t>mandatory use (if any) of RPTM is imposed; and</w:t>
      </w:r>
    </w:p>
    <w:p w:rsidR="00E07470" w:rsidRPr="00EB6DF3" w:rsidRDefault="00EB6DF3" w:rsidP="00157E52">
      <w:pPr>
        <w:pStyle w:val="ListParagraph"/>
        <w:numPr>
          <w:ilvl w:val="0"/>
          <w:numId w:val="48"/>
        </w:numPr>
        <w:rPr>
          <w:lang w:val="en-US"/>
        </w:rPr>
      </w:pPr>
      <w:r>
        <w:rPr>
          <w:lang w:val="en-US"/>
        </w:rPr>
        <w:t>other St</w:t>
      </w:r>
      <w:r w:rsidR="00BB4F4B" w:rsidRPr="00EB6DF3">
        <w:rPr>
          <w:lang w:val="en-US"/>
        </w:rPr>
        <w:t xml:space="preserve">ates </w:t>
      </w:r>
      <w:r>
        <w:rPr>
          <w:lang w:val="en-US"/>
        </w:rPr>
        <w:t xml:space="preserve">and Territories </w:t>
      </w:r>
      <w:r w:rsidR="00BB4F4B" w:rsidRPr="00EB6DF3">
        <w:rPr>
          <w:lang w:val="en-US"/>
        </w:rPr>
        <w:t>connect to the N</w:t>
      </w:r>
      <w:r>
        <w:rPr>
          <w:lang w:val="en-US"/>
        </w:rPr>
        <w:t>DE and interjurisdictional data sharing occurs to form a national RTPM system</w:t>
      </w:r>
      <w:r w:rsidR="00587E02" w:rsidRPr="00EB6DF3">
        <w:rPr>
          <w:lang w:val="en-US"/>
        </w:rPr>
        <w:t>.</w:t>
      </w:r>
      <w:r w:rsidR="00282672">
        <w:br w:type="page"/>
      </w:r>
    </w:p>
    <w:p w:rsidR="00645235" w:rsidRDefault="00645235" w:rsidP="00A13A4B">
      <w:pPr>
        <w:pStyle w:val="Heading1"/>
        <w:ind w:left="431" w:hanging="431"/>
        <w:rPr>
          <w:lang w:val="en-US"/>
        </w:rPr>
      </w:pPr>
      <w:bookmarkStart w:id="34" w:name="_Toc17973114"/>
      <w:bookmarkStart w:id="35" w:name="_Toc18414690"/>
      <w:r>
        <w:rPr>
          <w:lang w:val="en-US"/>
        </w:rPr>
        <w:lastRenderedPageBreak/>
        <w:t>Appendix</w:t>
      </w:r>
      <w:r w:rsidR="00A13A4B">
        <w:rPr>
          <w:lang w:val="en-US"/>
        </w:rPr>
        <w:t xml:space="preserve"> A</w:t>
      </w:r>
      <w:r w:rsidR="00DB3DCA">
        <w:rPr>
          <w:lang w:val="en-US"/>
        </w:rPr>
        <w:t xml:space="preserve">: </w:t>
      </w:r>
      <w:r w:rsidR="00A13A4B">
        <w:rPr>
          <w:lang w:val="en-US"/>
        </w:rPr>
        <w:t>Organisations</w:t>
      </w:r>
      <w:r>
        <w:rPr>
          <w:lang w:val="en-US"/>
        </w:rPr>
        <w:t xml:space="preserve"> that participated</w:t>
      </w:r>
      <w:r w:rsidR="00A13A4B">
        <w:rPr>
          <w:lang w:val="en-US"/>
        </w:rPr>
        <w:t xml:space="preserve"> in the</w:t>
      </w:r>
      <w:r>
        <w:rPr>
          <w:lang w:val="en-US"/>
        </w:rPr>
        <w:t xml:space="preserve"> Workshops</w:t>
      </w:r>
      <w:bookmarkEnd w:id="34"/>
      <w:bookmarkEnd w:id="35"/>
    </w:p>
    <w:p w:rsidR="00645235" w:rsidRPr="00514604" w:rsidRDefault="00645235" w:rsidP="00645235">
      <w:pPr>
        <w:rPr>
          <w:lang w:val="en-US"/>
        </w:rPr>
      </w:pPr>
    </w:p>
    <w:tbl>
      <w:tblPr>
        <w:tblW w:w="0" w:type="auto"/>
        <w:tblLook w:val="0000" w:firstRow="0" w:lastRow="0" w:firstColumn="0" w:lastColumn="0" w:noHBand="0" w:noVBand="0"/>
      </w:tblPr>
      <w:tblGrid>
        <w:gridCol w:w="10420"/>
      </w:tblGrid>
      <w:tr w:rsidR="00645235" w:rsidRPr="00C50455" w:rsidTr="007E1644">
        <w:trPr>
          <w:trHeight w:val="454"/>
        </w:trPr>
        <w:tc>
          <w:tcPr>
            <w:tcW w:w="10682" w:type="dxa"/>
            <w:shd w:val="clear" w:color="auto" w:fill="auto"/>
            <w:vAlign w:val="center"/>
          </w:tcPr>
          <w:p w:rsidR="00645235" w:rsidRDefault="00645235" w:rsidP="00117148">
            <w:pPr>
              <w:pStyle w:val="ListParagraph"/>
              <w:numPr>
                <w:ilvl w:val="0"/>
                <w:numId w:val="17"/>
              </w:numPr>
            </w:pPr>
            <w:r>
              <w:t>Alcohol and Drug Foundation</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t xml:space="preserve">Alcohol and Other Drug Consumer and Community Coalition </w:t>
            </w:r>
          </w:p>
        </w:tc>
      </w:tr>
      <w:tr w:rsidR="00645235" w:rsidTr="007E1644">
        <w:trPr>
          <w:trHeight w:val="454"/>
        </w:trPr>
        <w:tc>
          <w:tcPr>
            <w:tcW w:w="10682" w:type="dxa"/>
            <w:shd w:val="clear" w:color="auto" w:fill="auto"/>
            <w:vAlign w:val="center"/>
          </w:tcPr>
          <w:p w:rsidR="00645235" w:rsidRDefault="00645235" w:rsidP="00117148">
            <w:pPr>
              <w:pStyle w:val="ListParagraph"/>
              <w:numPr>
                <w:ilvl w:val="0"/>
                <w:numId w:val="17"/>
              </w:numPr>
            </w:pPr>
            <w:r>
              <w:t>Australian and New Zealand College of Anaesthetists: Faculty of Pain Medicine</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Australian College for Emergency Medicine</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Australian Health Practitioner Regulation Agency</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t>Chief Pharmacist Forum</w:t>
            </w:r>
          </w:p>
        </w:tc>
      </w:tr>
      <w:tr w:rsidR="00645235" w:rsidRPr="00C50455" w:rsidTr="007E1644">
        <w:trPr>
          <w:trHeight w:val="454"/>
        </w:trPr>
        <w:tc>
          <w:tcPr>
            <w:tcW w:w="10682" w:type="dxa"/>
            <w:shd w:val="clear" w:color="auto" w:fill="auto"/>
            <w:vAlign w:val="center"/>
          </w:tcPr>
          <w:p w:rsidR="00645235" w:rsidRDefault="00645235" w:rsidP="00117148">
            <w:pPr>
              <w:pStyle w:val="ListParagraph"/>
              <w:numPr>
                <w:ilvl w:val="0"/>
                <w:numId w:val="17"/>
              </w:numPr>
            </w:pPr>
            <w:r>
              <w:t xml:space="preserve">Fiona Stanley Hospital, Pain Management Clinic </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117148">
              <w:rPr>
                <w:color w:val="000000"/>
              </w:rPr>
              <w:t>Health Consumer Council</w:t>
            </w:r>
          </w:p>
        </w:tc>
      </w:tr>
      <w:tr w:rsidR="00645235" w:rsidRPr="00C50455" w:rsidTr="007E1644">
        <w:trPr>
          <w:trHeight w:val="454"/>
        </w:trPr>
        <w:tc>
          <w:tcPr>
            <w:tcW w:w="10682" w:type="dxa"/>
            <w:shd w:val="clear" w:color="auto" w:fill="auto"/>
            <w:vAlign w:val="center"/>
          </w:tcPr>
          <w:p w:rsidR="00645235" w:rsidRPr="00117148" w:rsidRDefault="00645235" w:rsidP="00117148">
            <w:pPr>
              <w:pStyle w:val="ListParagraph"/>
              <w:numPr>
                <w:ilvl w:val="0"/>
                <w:numId w:val="17"/>
              </w:numPr>
              <w:rPr>
                <w:color w:val="000000"/>
              </w:rPr>
            </w:pPr>
            <w:r w:rsidRPr="00117148">
              <w:rPr>
                <w:color w:val="000000"/>
              </w:rPr>
              <w:t xml:space="preserve">Mental Health Commission </w:t>
            </w:r>
          </w:p>
        </w:tc>
      </w:tr>
      <w:tr w:rsidR="00645235" w:rsidRPr="00C50455" w:rsidTr="007E1644">
        <w:trPr>
          <w:trHeight w:val="454"/>
        </w:trPr>
        <w:tc>
          <w:tcPr>
            <w:tcW w:w="10682" w:type="dxa"/>
            <w:shd w:val="clear" w:color="auto" w:fill="auto"/>
            <w:vAlign w:val="center"/>
          </w:tcPr>
          <w:p w:rsidR="00645235" w:rsidRPr="00187655" w:rsidRDefault="00187655" w:rsidP="00117148">
            <w:pPr>
              <w:pStyle w:val="ListParagraph"/>
              <w:numPr>
                <w:ilvl w:val="0"/>
                <w:numId w:val="17"/>
              </w:numPr>
              <w:rPr>
                <w:color w:val="000000"/>
                <w:lang w:eastAsia="en-AU"/>
              </w:rPr>
            </w:pPr>
            <w:r w:rsidRPr="00187655">
              <w:rPr>
                <w:color w:val="000000"/>
                <w:lang w:eastAsia="en-AU"/>
              </w:rPr>
              <w:t xml:space="preserve">West Australian </w:t>
            </w:r>
            <w:r w:rsidR="00645235" w:rsidRPr="00187655">
              <w:rPr>
                <w:color w:val="000000"/>
                <w:lang w:eastAsia="en-AU"/>
              </w:rPr>
              <w:t>Department of Health,  Public and Aboriginal Health Division</w:t>
            </w:r>
          </w:p>
        </w:tc>
      </w:tr>
      <w:tr w:rsidR="00645235" w:rsidRPr="00C50455" w:rsidTr="007E1644">
        <w:trPr>
          <w:trHeight w:val="454"/>
        </w:trPr>
        <w:tc>
          <w:tcPr>
            <w:tcW w:w="10682" w:type="dxa"/>
            <w:shd w:val="clear" w:color="auto" w:fill="auto"/>
            <w:vAlign w:val="center"/>
          </w:tcPr>
          <w:p w:rsidR="00645235" w:rsidRPr="00117148" w:rsidRDefault="00645235" w:rsidP="00117148">
            <w:pPr>
              <w:pStyle w:val="ListParagraph"/>
              <w:numPr>
                <w:ilvl w:val="0"/>
                <w:numId w:val="17"/>
              </w:numPr>
              <w:rPr>
                <w:color w:val="000000"/>
              </w:rPr>
            </w:pPr>
            <w:r w:rsidRPr="00C50455">
              <w:t>Next Step Alcohol and Drug Services</w:t>
            </w:r>
          </w:p>
        </w:tc>
      </w:tr>
      <w:tr w:rsidR="00645235" w:rsidRPr="00C50455" w:rsidTr="007E1644">
        <w:trPr>
          <w:trHeight w:val="454"/>
        </w:trPr>
        <w:tc>
          <w:tcPr>
            <w:tcW w:w="10682" w:type="dxa"/>
            <w:shd w:val="clear" w:color="auto" w:fill="auto"/>
            <w:vAlign w:val="center"/>
          </w:tcPr>
          <w:p w:rsidR="00645235" w:rsidRPr="00117148" w:rsidRDefault="00645235" w:rsidP="00117148">
            <w:pPr>
              <w:pStyle w:val="ListParagraph"/>
              <w:numPr>
                <w:ilvl w:val="0"/>
                <w:numId w:val="17"/>
              </w:numPr>
              <w:rPr>
                <w:color w:val="000000"/>
              </w:rPr>
            </w:pPr>
            <w:r w:rsidRPr="00117148">
              <w:rPr>
                <w:color w:val="000000"/>
              </w:rPr>
              <w:t xml:space="preserve">Pharmacy Guild of Australia </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Pharmaceutical Society of Australia</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Royal Australian and New Zealand College of Psychiatrists</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t>Royal Australasian College of Physicians: Chapter of Addiction Medicine</w:t>
            </w:r>
          </w:p>
        </w:tc>
      </w:tr>
      <w:tr w:rsidR="00645235" w:rsidRPr="00C50455" w:rsidTr="007E1644">
        <w:trPr>
          <w:trHeight w:val="454"/>
        </w:trPr>
        <w:tc>
          <w:tcPr>
            <w:tcW w:w="10682" w:type="dxa"/>
            <w:shd w:val="clear" w:color="auto" w:fill="auto"/>
            <w:vAlign w:val="center"/>
          </w:tcPr>
          <w:p w:rsidR="00282672" w:rsidRDefault="00645235" w:rsidP="00282672">
            <w:pPr>
              <w:pStyle w:val="ListParagraph"/>
              <w:numPr>
                <w:ilvl w:val="0"/>
                <w:numId w:val="17"/>
              </w:numPr>
            </w:pPr>
            <w:r>
              <w:t>Royal Perth Hospital, Pain Medicine Centre</w:t>
            </w:r>
          </w:p>
        </w:tc>
      </w:tr>
      <w:tr w:rsidR="00282672" w:rsidRPr="00C50455" w:rsidTr="007E1644">
        <w:trPr>
          <w:trHeight w:val="454"/>
        </w:trPr>
        <w:tc>
          <w:tcPr>
            <w:tcW w:w="10682" w:type="dxa"/>
            <w:shd w:val="clear" w:color="auto" w:fill="auto"/>
            <w:vAlign w:val="center"/>
          </w:tcPr>
          <w:p w:rsidR="00282672" w:rsidRDefault="00282672" w:rsidP="00117148">
            <w:pPr>
              <w:pStyle w:val="ListParagraph"/>
              <w:numPr>
                <w:ilvl w:val="0"/>
                <w:numId w:val="17"/>
              </w:numPr>
            </w:pPr>
            <w:r>
              <w:t>The Royal Australian College of General Practitioners</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The Society of Hospital Pharmacists of Australia</w:t>
            </w:r>
          </w:p>
        </w:tc>
      </w:tr>
      <w:tr w:rsidR="00645235" w:rsidRPr="00C50455" w:rsidTr="007E1644">
        <w:trPr>
          <w:trHeight w:val="454"/>
        </w:trPr>
        <w:tc>
          <w:tcPr>
            <w:tcW w:w="10682" w:type="dxa"/>
            <w:shd w:val="clear" w:color="auto" w:fill="auto"/>
            <w:vAlign w:val="center"/>
          </w:tcPr>
          <w:p w:rsidR="00645235" w:rsidRPr="00C50455" w:rsidRDefault="00645235" w:rsidP="00117148">
            <w:pPr>
              <w:pStyle w:val="ListParagraph"/>
              <w:numPr>
                <w:ilvl w:val="0"/>
                <w:numId w:val="17"/>
              </w:numPr>
            </w:pPr>
            <w:r w:rsidRPr="00C50455">
              <w:t>West Australian Primary Health Alliance</w:t>
            </w:r>
          </w:p>
        </w:tc>
      </w:tr>
      <w:tr w:rsidR="00645235" w:rsidRPr="00C50455" w:rsidTr="007E1644">
        <w:trPr>
          <w:trHeight w:val="454"/>
        </w:trPr>
        <w:tc>
          <w:tcPr>
            <w:tcW w:w="10682" w:type="dxa"/>
            <w:shd w:val="clear" w:color="auto" w:fill="auto"/>
            <w:vAlign w:val="center"/>
          </w:tcPr>
          <w:p w:rsidR="00645235" w:rsidRDefault="00645235" w:rsidP="00117148">
            <w:pPr>
              <w:pStyle w:val="ListParagraph"/>
              <w:numPr>
                <w:ilvl w:val="0"/>
                <w:numId w:val="17"/>
              </w:numPr>
            </w:pPr>
            <w:r w:rsidRPr="00C50455">
              <w:t>Western Australian Network of Alcohol and other Drug Agencies</w:t>
            </w:r>
          </w:p>
          <w:p w:rsidR="00645235" w:rsidRPr="00C50455" w:rsidRDefault="00645235" w:rsidP="00117148"/>
        </w:tc>
      </w:tr>
    </w:tbl>
    <w:p w:rsidR="00645235" w:rsidRDefault="00645235" w:rsidP="00645235">
      <w:pPr>
        <w:spacing w:line="276" w:lineRule="auto"/>
        <w:jc w:val="both"/>
        <w:rPr>
          <w:sz w:val="22"/>
        </w:rPr>
      </w:pPr>
    </w:p>
    <w:p w:rsidR="00645235" w:rsidRDefault="00645235" w:rsidP="00863A06"/>
    <w:p w:rsidR="00645235" w:rsidRDefault="00645235" w:rsidP="00863A06"/>
    <w:p w:rsidR="00645235" w:rsidRDefault="00645235" w:rsidP="00863A06"/>
    <w:p w:rsidR="00645235" w:rsidRDefault="00645235" w:rsidP="00863A06"/>
    <w:p w:rsidR="00645235" w:rsidRDefault="00645235" w:rsidP="00863A06"/>
    <w:p w:rsidR="00E07470" w:rsidRDefault="00E07470" w:rsidP="00863A06"/>
    <w:p w:rsidR="00863A06" w:rsidRDefault="00863A06" w:rsidP="00743BE0"/>
    <w:p w:rsidR="00863A06" w:rsidRDefault="00863A06" w:rsidP="00743BE0">
      <w:pPr>
        <w:sectPr w:rsidR="00863A06" w:rsidSect="00584BE6">
          <w:headerReference w:type="default" r:id="rId22"/>
          <w:footerReference w:type="default" r:id="rId23"/>
          <w:pgSz w:w="11906" w:h="16838"/>
          <w:pgMar w:top="851" w:right="851" w:bottom="1418" w:left="851" w:header="709" w:footer="397" w:gutter="0"/>
          <w:pgNumType w:start="1"/>
          <w:cols w:space="708"/>
          <w:docGrid w:linePitch="360"/>
        </w:sectPr>
      </w:pPr>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5A46DE">
        <w:rPr>
          <w:b/>
        </w:rPr>
        <w:t xml:space="preserve">request for a person with </w:t>
      </w:r>
      <w:r w:rsidRPr="00AF7C07">
        <w:rPr>
          <w:b/>
        </w:rPr>
        <w:t>disability.</w:t>
      </w:r>
    </w:p>
    <w:p w:rsidR="00743BE0" w:rsidRDefault="00183A46" w:rsidP="000C1184">
      <w:pPr>
        <w:spacing w:after="300"/>
        <w:ind w:right="-1"/>
      </w:pPr>
      <w:r>
        <w:t>© Department of Health 201</w:t>
      </w:r>
      <w:r w:rsidR="00DB3DCA">
        <w:t>9</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4"/>
      <w:footerReference w:type="default" r:id="rId25"/>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07" w:rsidRDefault="00312C07" w:rsidP="00743BE0">
      <w:pPr>
        <w:spacing w:after="0"/>
      </w:pPr>
      <w:r>
        <w:separator/>
      </w:r>
    </w:p>
  </w:endnote>
  <w:endnote w:type="continuationSeparator" w:id="0">
    <w:p w:rsidR="00312C07" w:rsidRDefault="00312C07"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Pr="004D0A1D" w:rsidRDefault="00312C07" w:rsidP="00F34BF2">
    <w:pPr>
      <w:spacing w:after="240"/>
      <w:rPr>
        <w:b/>
        <w:color w:val="005B38"/>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Pr="00375931" w:rsidRDefault="00312C07" w:rsidP="00771E1C">
    <w:pPr>
      <w:pStyle w:val="Footer"/>
    </w:pPr>
    <w:r>
      <w:rPr>
        <w:noProof/>
        <w:lang w:eastAsia="en-AU"/>
      </w:rPr>
      <mc:AlternateContent>
        <mc:Choice Requires="wps">
          <w:drawing>
            <wp:anchor distT="0" distB="0" distL="114300" distR="114300" simplePos="0" relativeHeight="251660288" behindDoc="1" locked="0" layoutInCell="1" allowOverlap="1" wp14:anchorId="7AC20C5A" wp14:editId="0160C5CC">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1b2c5b [3204]">
              <w10:wrap anchorx="page" anchory="page"/>
            </v:line>
          </w:pict>
        </mc:Fallback>
      </mc:AlternateContent>
    </w:r>
    <w:r>
      <w:fldChar w:fldCharType="begin"/>
    </w:r>
    <w:r>
      <w:instrText xml:space="preserve"> PAGE   \* MERGEFORMAT </w:instrText>
    </w:r>
    <w:r>
      <w:fldChar w:fldCharType="separate"/>
    </w:r>
    <w:r w:rsidR="007C0D3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Default="00312C07"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07" w:rsidRDefault="00312C07" w:rsidP="00743BE0">
      <w:pPr>
        <w:spacing w:after="0"/>
      </w:pPr>
      <w:r>
        <w:separator/>
      </w:r>
    </w:p>
  </w:footnote>
  <w:footnote w:type="continuationSeparator" w:id="0">
    <w:p w:rsidR="00312C07" w:rsidRDefault="00312C07"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Default="00312C07">
    <w:pPr>
      <w:pStyle w:val="Header"/>
    </w:pPr>
    <w:r>
      <w:rPr>
        <w:noProof/>
        <w:lang w:eastAsia="en-AU"/>
      </w:rPr>
      <w:drawing>
        <wp:anchor distT="0" distB="0" distL="114300" distR="114300" simplePos="0" relativeHeight="251659264" behindDoc="1" locked="0" layoutInCell="1" allowOverlap="1" wp14:anchorId="13B42FCC" wp14:editId="029A5EA9">
          <wp:simplePos x="0" y="0"/>
          <wp:positionH relativeFrom="page">
            <wp:posOffset>0</wp:posOffset>
          </wp:positionH>
          <wp:positionV relativeFrom="page">
            <wp:posOffset>0</wp:posOffset>
          </wp:positionV>
          <wp:extent cx="7558767" cy="10691999"/>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Default="00312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07" w:rsidRDefault="0031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AE"/>
    <w:multiLevelType w:val="hybridMultilevel"/>
    <w:tmpl w:val="E9040444"/>
    <w:lvl w:ilvl="0" w:tplc="1CF073BC">
      <w:start w:val="1"/>
      <w:numFmt w:val="bullet"/>
      <w:lvlText w:val="–"/>
      <w:lvlJc w:val="left"/>
      <w:pPr>
        <w:ind w:left="720" w:hanging="360"/>
      </w:pPr>
      <w:rPr>
        <w:rFonts w:ascii="Arial Bold" w:hAnsi="Arial Bold"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F3094"/>
    <w:multiLevelType w:val="hybridMultilevel"/>
    <w:tmpl w:val="D4AC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3A2159"/>
    <w:multiLevelType w:val="hybridMultilevel"/>
    <w:tmpl w:val="04BE59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C91F14"/>
    <w:multiLevelType w:val="hybridMultilevel"/>
    <w:tmpl w:val="F690741E"/>
    <w:lvl w:ilvl="0" w:tplc="1CF073BC">
      <w:start w:val="1"/>
      <w:numFmt w:val="bullet"/>
      <w:lvlText w:val="–"/>
      <w:lvlJc w:val="left"/>
      <w:pPr>
        <w:ind w:left="720" w:hanging="360"/>
      </w:pPr>
      <w:rPr>
        <w:rFonts w:ascii="Arial Bold" w:hAnsi="Arial Bold"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854372"/>
    <w:multiLevelType w:val="hybridMultilevel"/>
    <w:tmpl w:val="527E0538"/>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DE70A2"/>
    <w:multiLevelType w:val="hybridMultilevel"/>
    <w:tmpl w:val="913A07FC"/>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B462F2"/>
    <w:multiLevelType w:val="multilevel"/>
    <w:tmpl w:val="9A6A420E"/>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7821679"/>
    <w:multiLevelType w:val="hybridMultilevel"/>
    <w:tmpl w:val="1990E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EC5C65"/>
    <w:multiLevelType w:val="hybridMultilevel"/>
    <w:tmpl w:val="B178BBBA"/>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B825CF"/>
    <w:multiLevelType w:val="hybridMultilevel"/>
    <w:tmpl w:val="74405D20"/>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13410"/>
    <w:multiLevelType w:val="hybridMultilevel"/>
    <w:tmpl w:val="FB42A9F6"/>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AF74A8"/>
    <w:multiLevelType w:val="hybridMultilevel"/>
    <w:tmpl w:val="1F22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8D054E"/>
    <w:multiLevelType w:val="hybridMultilevel"/>
    <w:tmpl w:val="61FA4894"/>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503213"/>
    <w:multiLevelType w:val="hybridMultilevel"/>
    <w:tmpl w:val="A2E494A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11895"/>
    <w:multiLevelType w:val="hybridMultilevel"/>
    <w:tmpl w:val="A6F0F766"/>
    <w:lvl w:ilvl="0" w:tplc="0C090001">
      <w:start w:val="1"/>
      <w:numFmt w:val="bullet"/>
      <w:lvlText w:val=""/>
      <w:lvlJc w:val="left"/>
      <w:pPr>
        <w:ind w:left="814" w:hanging="360"/>
      </w:pPr>
      <w:rPr>
        <w:rFonts w:ascii="Symbol" w:hAnsi="Symbol" w:hint="default"/>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8">
    <w:nsid w:val="2E8E4608"/>
    <w:multiLevelType w:val="hybridMultilevel"/>
    <w:tmpl w:val="A6F46C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6E30EE"/>
    <w:multiLevelType w:val="hybridMultilevel"/>
    <w:tmpl w:val="BB88D4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DB001E"/>
    <w:multiLevelType w:val="hybridMultilevel"/>
    <w:tmpl w:val="5B4A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7F3C85"/>
    <w:multiLevelType w:val="hybridMultilevel"/>
    <w:tmpl w:val="DD8CB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90108AB"/>
    <w:multiLevelType w:val="hybridMultilevel"/>
    <w:tmpl w:val="697296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nsid w:val="3B3101EC"/>
    <w:multiLevelType w:val="hybridMultilevel"/>
    <w:tmpl w:val="E5A0F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FD1A20"/>
    <w:multiLevelType w:val="hybridMultilevel"/>
    <w:tmpl w:val="9D16D286"/>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2E6C06"/>
    <w:multiLevelType w:val="hybridMultilevel"/>
    <w:tmpl w:val="F198E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17A386E"/>
    <w:multiLevelType w:val="hybridMultilevel"/>
    <w:tmpl w:val="41527C6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8">
    <w:nsid w:val="42074F45"/>
    <w:multiLevelType w:val="hybridMultilevel"/>
    <w:tmpl w:val="C8E69244"/>
    <w:lvl w:ilvl="0" w:tplc="0138F93A">
      <w:start w:val="1"/>
      <w:numFmt w:val="bullet"/>
      <w:lvlText w:val=""/>
      <w:lvlJc w:val="left"/>
      <w:pPr>
        <w:ind w:left="783" w:hanging="360"/>
      </w:pPr>
      <w:rPr>
        <w:rFonts w:ascii="Symbol" w:hAnsi="Symbol" w:hint="default"/>
        <w:b/>
        <w:bCs/>
        <w:i w:val="0"/>
        <w:color w:val="auto"/>
        <w:sz w:val="20"/>
        <w:szCs w:val="24"/>
        <w:u w:color="B30033"/>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nsid w:val="43001D64"/>
    <w:multiLevelType w:val="hybridMultilevel"/>
    <w:tmpl w:val="C152E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3246FC9"/>
    <w:multiLevelType w:val="hybridMultilevel"/>
    <w:tmpl w:val="A0D21F4E"/>
    <w:lvl w:ilvl="0" w:tplc="6148618C">
      <w:start w:val="1"/>
      <w:numFmt w:val="bullet"/>
      <w:lvlText w:val="–"/>
      <w:lvlJc w:val="left"/>
      <w:pPr>
        <w:ind w:left="720" w:hanging="360"/>
      </w:pPr>
      <w:rPr>
        <w:rFonts w:ascii="Arial Bold" w:hAnsi="Arial Bold"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4036EC"/>
    <w:multiLevelType w:val="hybridMultilevel"/>
    <w:tmpl w:val="0470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B66060"/>
    <w:multiLevelType w:val="hybridMultilevel"/>
    <w:tmpl w:val="650AADFE"/>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9272440"/>
    <w:multiLevelType w:val="multilevel"/>
    <w:tmpl w:val="7E6466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3B34A9C"/>
    <w:multiLevelType w:val="hybridMultilevel"/>
    <w:tmpl w:val="F4DE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74EF6"/>
    <w:multiLevelType w:val="hybridMultilevel"/>
    <w:tmpl w:val="7194D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D11051"/>
    <w:multiLevelType w:val="hybridMultilevel"/>
    <w:tmpl w:val="4D8E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C5598F"/>
    <w:multiLevelType w:val="hybridMultilevel"/>
    <w:tmpl w:val="F55203D4"/>
    <w:lvl w:ilvl="0" w:tplc="A620B6E0">
      <w:start w:val="1"/>
      <w:numFmt w:val="bullet"/>
      <w:lvlText w:val=""/>
      <w:lvlJc w:val="left"/>
      <w:pPr>
        <w:ind w:left="720" w:hanging="360"/>
      </w:pPr>
      <w:rPr>
        <w:rFonts w:ascii="Symbol" w:hAnsi="Symbol"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D65527"/>
    <w:multiLevelType w:val="hybridMultilevel"/>
    <w:tmpl w:val="5880AED4"/>
    <w:lvl w:ilvl="0" w:tplc="A620B6E0">
      <w:start w:val="1"/>
      <w:numFmt w:val="bullet"/>
      <w:lvlText w:val=""/>
      <w:lvlJc w:val="left"/>
      <w:pPr>
        <w:ind w:left="720" w:hanging="360"/>
      </w:pPr>
      <w:rPr>
        <w:rFonts w:ascii="Symbol" w:hAnsi="Symbol" w:hint="default"/>
        <w:b/>
        <w:bCs/>
        <w:i w:val="0"/>
        <w:color w:val="1B2C5B" w:themeColor="accent1"/>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525275"/>
    <w:multiLevelType w:val="hybridMultilevel"/>
    <w:tmpl w:val="E2580F9C"/>
    <w:lvl w:ilvl="0" w:tplc="1CF073BC">
      <w:start w:val="1"/>
      <w:numFmt w:val="bullet"/>
      <w:lvlText w:val="–"/>
      <w:lvlJc w:val="left"/>
      <w:pPr>
        <w:ind w:left="720" w:hanging="360"/>
      </w:pPr>
      <w:rPr>
        <w:rFonts w:ascii="Arial Bold" w:hAnsi="Arial Bold"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937AC7"/>
    <w:multiLevelType w:val="hybridMultilevel"/>
    <w:tmpl w:val="CBB22094"/>
    <w:lvl w:ilvl="0" w:tplc="1CF073BC">
      <w:start w:val="1"/>
      <w:numFmt w:val="bullet"/>
      <w:lvlText w:val="–"/>
      <w:lvlJc w:val="left"/>
      <w:pPr>
        <w:ind w:left="720" w:hanging="360"/>
      </w:pPr>
      <w:rPr>
        <w:rFonts w:ascii="Arial Bold" w:hAnsi="Arial Bold"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0F7345"/>
    <w:multiLevelType w:val="hybridMultilevel"/>
    <w:tmpl w:val="D5BC23A8"/>
    <w:lvl w:ilvl="0" w:tplc="0138F93A">
      <w:start w:val="1"/>
      <w:numFmt w:val="bullet"/>
      <w:lvlText w:val=""/>
      <w:lvlJc w:val="left"/>
      <w:pPr>
        <w:ind w:left="720" w:hanging="360"/>
      </w:pPr>
      <w:rPr>
        <w:rFonts w:ascii="Symbol" w:hAnsi="Symbol" w:hint="default"/>
        <w:b/>
        <w:bCs/>
        <w:i w:val="0"/>
        <w:color w:val="auto"/>
        <w:sz w:val="20"/>
        <w:szCs w:val="24"/>
        <w:u w:color="B300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857A52"/>
    <w:multiLevelType w:val="hybridMultilevel"/>
    <w:tmpl w:val="F08E26A0"/>
    <w:lvl w:ilvl="0" w:tplc="A620B6E0">
      <w:start w:val="1"/>
      <w:numFmt w:val="bullet"/>
      <w:lvlText w:val=""/>
      <w:lvlJc w:val="left"/>
      <w:pPr>
        <w:ind w:left="720" w:hanging="360"/>
      </w:pPr>
      <w:rPr>
        <w:rFonts w:ascii="Symbol" w:hAnsi="Symbol"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D0E001C"/>
    <w:multiLevelType w:val="hybridMultilevel"/>
    <w:tmpl w:val="7436AE58"/>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6">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7A4A7D"/>
    <w:multiLevelType w:val="multilevel"/>
    <w:tmpl w:val="2A02EDDA"/>
    <w:lvl w:ilvl="0">
      <w:start w:val="1"/>
      <w:numFmt w:val="decimal"/>
      <w:lvlText w:val="%1."/>
      <w:lvlJc w:val="left"/>
      <w:pPr>
        <w:ind w:left="360" w:hanging="360"/>
      </w:pPr>
    </w:lvl>
    <w:lvl w:ilvl="1">
      <w:start w:val="3"/>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num w:numId="1">
    <w:abstractNumId w:val="38"/>
  </w:num>
  <w:num w:numId="2">
    <w:abstractNumId w:val="11"/>
  </w:num>
  <w:num w:numId="3">
    <w:abstractNumId w:val="46"/>
  </w:num>
  <w:num w:numId="4">
    <w:abstractNumId w:val="21"/>
  </w:num>
  <w:num w:numId="5">
    <w:abstractNumId w:val="14"/>
  </w:num>
  <w:num w:numId="6">
    <w:abstractNumId w:val="9"/>
  </w:num>
  <w:num w:numId="7">
    <w:abstractNumId w:val="33"/>
  </w:num>
  <w:num w:numId="8">
    <w:abstractNumId w:val="7"/>
  </w:num>
  <w:num w:numId="9">
    <w:abstractNumId w:val="36"/>
  </w:num>
  <w:num w:numId="10">
    <w:abstractNumId w:val="5"/>
  </w:num>
  <w:num w:numId="11">
    <w:abstractNumId w:val="47"/>
  </w:num>
  <w:num w:numId="12">
    <w:abstractNumId w:val="28"/>
  </w:num>
  <w:num w:numId="13">
    <w:abstractNumId w:val="30"/>
  </w:num>
  <w:num w:numId="14">
    <w:abstractNumId w:val="6"/>
  </w:num>
  <w:num w:numId="15">
    <w:abstractNumId w:val="41"/>
  </w:num>
  <w:num w:numId="16">
    <w:abstractNumId w:val="3"/>
  </w:num>
  <w:num w:numId="17">
    <w:abstractNumId w:val="0"/>
  </w:num>
  <w:num w:numId="18">
    <w:abstractNumId w:val="22"/>
  </w:num>
  <w:num w:numId="19">
    <w:abstractNumId w:val="42"/>
  </w:num>
  <w:num w:numId="20">
    <w:abstractNumId w:val="40"/>
  </w:num>
  <w:num w:numId="21">
    <w:abstractNumId w:val="25"/>
  </w:num>
  <w:num w:numId="22">
    <w:abstractNumId w:val="8"/>
  </w:num>
  <w:num w:numId="23">
    <w:abstractNumId w:val="39"/>
  </w:num>
  <w:num w:numId="24">
    <w:abstractNumId w:val="26"/>
  </w:num>
  <w:num w:numId="25">
    <w:abstractNumId w:val="44"/>
  </w:num>
  <w:num w:numId="26">
    <w:abstractNumId w:val="32"/>
  </w:num>
  <w:num w:numId="27">
    <w:abstractNumId w:val="12"/>
  </w:num>
  <w:num w:numId="28">
    <w:abstractNumId w:val="4"/>
  </w:num>
  <w:num w:numId="29">
    <w:abstractNumId w:val="43"/>
  </w:num>
  <w:num w:numId="30">
    <w:abstractNumId w:val="10"/>
  </w:num>
  <w:num w:numId="31">
    <w:abstractNumId w:val="23"/>
  </w:num>
  <w:num w:numId="32">
    <w:abstractNumId w:val="19"/>
  </w:num>
  <w:num w:numId="33">
    <w:abstractNumId w:val="16"/>
  </w:num>
  <w:num w:numId="34">
    <w:abstractNumId w:val="15"/>
  </w:num>
  <w:num w:numId="35">
    <w:abstractNumId w:val="2"/>
  </w:num>
  <w:num w:numId="36">
    <w:abstractNumId w:val="13"/>
  </w:num>
  <w:num w:numId="37">
    <w:abstractNumId w:val="17"/>
  </w:num>
  <w:num w:numId="38">
    <w:abstractNumId w:val="34"/>
  </w:num>
  <w:num w:numId="39">
    <w:abstractNumId w:val="1"/>
  </w:num>
  <w:num w:numId="40">
    <w:abstractNumId w:val="45"/>
  </w:num>
  <w:num w:numId="41">
    <w:abstractNumId w:val="35"/>
  </w:num>
  <w:num w:numId="42">
    <w:abstractNumId w:val="24"/>
  </w:num>
  <w:num w:numId="43">
    <w:abstractNumId w:val="31"/>
  </w:num>
  <w:num w:numId="44">
    <w:abstractNumId w:val="18"/>
  </w:num>
  <w:num w:numId="45">
    <w:abstractNumId w:val="37"/>
  </w:num>
  <w:num w:numId="46">
    <w:abstractNumId w:val="27"/>
  </w:num>
  <w:num w:numId="47">
    <w:abstractNumId w:val="2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31F3"/>
    <w:rsid w:val="000049B4"/>
    <w:rsid w:val="000174B4"/>
    <w:rsid w:val="00052FE3"/>
    <w:rsid w:val="00054D6F"/>
    <w:rsid w:val="00063EC5"/>
    <w:rsid w:val="00083B7D"/>
    <w:rsid w:val="00087A1F"/>
    <w:rsid w:val="00091697"/>
    <w:rsid w:val="000A018D"/>
    <w:rsid w:val="000A06FA"/>
    <w:rsid w:val="000C1184"/>
    <w:rsid w:val="000C668E"/>
    <w:rsid w:val="000D36AC"/>
    <w:rsid w:val="000D4131"/>
    <w:rsid w:val="00117148"/>
    <w:rsid w:val="00126022"/>
    <w:rsid w:val="00126EEF"/>
    <w:rsid w:val="001437E0"/>
    <w:rsid w:val="00146A28"/>
    <w:rsid w:val="00157E52"/>
    <w:rsid w:val="0016439E"/>
    <w:rsid w:val="00167285"/>
    <w:rsid w:val="00171B7B"/>
    <w:rsid w:val="00172E00"/>
    <w:rsid w:val="00172EE3"/>
    <w:rsid w:val="001743E6"/>
    <w:rsid w:val="00183A46"/>
    <w:rsid w:val="001864F4"/>
    <w:rsid w:val="00187655"/>
    <w:rsid w:val="001A2779"/>
    <w:rsid w:val="001C7D1F"/>
    <w:rsid w:val="001D450C"/>
    <w:rsid w:val="001E61A5"/>
    <w:rsid w:val="001F330C"/>
    <w:rsid w:val="001F6030"/>
    <w:rsid w:val="001F68E9"/>
    <w:rsid w:val="00204D71"/>
    <w:rsid w:val="002057D5"/>
    <w:rsid w:val="002203F2"/>
    <w:rsid w:val="00220E8F"/>
    <w:rsid w:val="00221107"/>
    <w:rsid w:val="00230B46"/>
    <w:rsid w:val="002376E4"/>
    <w:rsid w:val="00246585"/>
    <w:rsid w:val="002506B5"/>
    <w:rsid w:val="00250900"/>
    <w:rsid w:val="00282672"/>
    <w:rsid w:val="00290639"/>
    <w:rsid w:val="00295899"/>
    <w:rsid w:val="002B3379"/>
    <w:rsid w:val="002B6E9C"/>
    <w:rsid w:val="002C7D7D"/>
    <w:rsid w:val="00300847"/>
    <w:rsid w:val="00312C07"/>
    <w:rsid w:val="003472CF"/>
    <w:rsid w:val="00355004"/>
    <w:rsid w:val="003554E9"/>
    <w:rsid w:val="00367085"/>
    <w:rsid w:val="003676F4"/>
    <w:rsid w:val="00375931"/>
    <w:rsid w:val="003929E7"/>
    <w:rsid w:val="003B4DE3"/>
    <w:rsid w:val="003D32CA"/>
    <w:rsid w:val="003E5503"/>
    <w:rsid w:val="00426694"/>
    <w:rsid w:val="00427800"/>
    <w:rsid w:val="00433B0D"/>
    <w:rsid w:val="004348E0"/>
    <w:rsid w:val="004444FF"/>
    <w:rsid w:val="004447AF"/>
    <w:rsid w:val="00466419"/>
    <w:rsid w:val="00466DB9"/>
    <w:rsid w:val="00470C6D"/>
    <w:rsid w:val="00471692"/>
    <w:rsid w:val="00487B6A"/>
    <w:rsid w:val="00491156"/>
    <w:rsid w:val="004A609E"/>
    <w:rsid w:val="004C185D"/>
    <w:rsid w:val="004C2780"/>
    <w:rsid w:val="004C6976"/>
    <w:rsid w:val="004D0A1D"/>
    <w:rsid w:val="004E4ED4"/>
    <w:rsid w:val="00500A3A"/>
    <w:rsid w:val="0050731C"/>
    <w:rsid w:val="00535E0C"/>
    <w:rsid w:val="0054290E"/>
    <w:rsid w:val="0055302E"/>
    <w:rsid w:val="0056716B"/>
    <w:rsid w:val="005766AD"/>
    <w:rsid w:val="00584BE6"/>
    <w:rsid w:val="00587E02"/>
    <w:rsid w:val="005949AC"/>
    <w:rsid w:val="00595B10"/>
    <w:rsid w:val="005A409E"/>
    <w:rsid w:val="005A46DE"/>
    <w:rsid w:val="005E5E79"/>
    <w:rsid w:val="005F208A"/>
    <w:rsid w:val="00620B72"/>
    <w:rsid w:val="00645235"/>
    <w:rsid w:val="0064686E"/>
    <w:rsid w:val="00667FDF"/>
    <w:rsid w:val="0067529F"/>
    <w:rsid w:val="0068033E"/>
    <w:rsid w:val="00692297"/>
    <w:rsid w:val="006A5645"/>
    <w:rsid w:val="006A5F6D"/>
    <w:rsid w:val="006B7587"/>
    <w:rsid w:val="006D3D54"/>
    <w:rsid w:val="006E452B"/>
    <w:rsid w:val="006F52D0"/>
    <w:rsid w:val="007140CC"/>
    <w:rsid w:val="00714886"/>
    <w:rsid w:val="0073725A"/>
    <w:rsid w:val="00743BE0"/>
    <w:rsid w:val="00743C45"/>
    <w:rsid w:val="0077027C"/>
    <w:rsid w:val="00771E1C"/>
    <w:rsid w:val="00773B83"/>
    <w:rsid w:val="00783EA7"/>
    <w:rsid w:val="007846E2"/>
    <w:rsid w:val="0079036D"/>
    <w:rsid w:val="007A1C78"/>
    <w:rsid w:val="007B41BF"/>
    <w:rsid w:val="007C0D35"/>
    <w:rsid w:val="007C4818"/>
    <w:rsid w:val="007C7F59"/>
    <w:rsid w:val="007D793C"/>
    <w:rsid w:val="007E1644"/>
    <w:rsid w:val="008028B2"/>
    <w:rsid w:val="00811F27"/>
    <w:rsid w:val="00831381"/>
    <w:rsid w:val="00836FE3"/>
    <w:rsid w:val="00863A06"/>
    <w:rsid w:val="00864A07"/>
    <w:rsid w:val="00881846"/>
    <w:rsid w:val="00897837"/>
    <w:rsid w:val="008B5F71"/>
    <w:rsid w:val="008C2721"/>
    <w:rsid w:val="008E6F45"/>
    <w:rsid w:val="008F3001"/>
    <w:rsid w:val="008F425F"/>
    <w:rsid w:val="008F535F"/>
    <w:rsid w:val="008F7FE4"/>
    <w:rsid w:val="00901661"/>
    <w:rsid w:val="00906201"/>
    <w:rsid w:val="009079AD"/>
    <w:rsid w:val="0091583A"/>
    <w:rsid w:val="009205F3"/>
    <w:rsid w:val="00930DF8"/>
    <w:rsid w:val="00952137"/>
    <w:rsid w:val="00953ADC"/>
    <w:rsid w:val="009570CB"/>
    <w:rsid w:val="009668ED"/>
    <w:rsid w:val="00981DA1"/>
    <w:rsid w:val="00990D6C"/>
    <w:rsid w:val="00996557"/>
    <w:rsid w:val="009C1C29"/>
    <w:rsid w:val="009C7191"/>
    <w:rsid w:val="009C72E0"/>
    <w:rsid w:val="009D0807"/>
    <w:rsid w:val="00A13A4B"/>
    <w:rsid w:val="00A3300B"/>
    <w:rsid w:val="00A44866"/>
    <w:rsid w:val="00A530B4"/>
    <w:rsid w:val="00A558D7"/>
    <w:rsid w:val="00A9145A"/>
    <w:rsid w:val="00A91C4C"/>
    <w:rsid w:val="00AC1CC3"/>
    <w:rsid w:val="00AC6FB5"/>
    <w:rsid w:val="00AF14AD"/>
    <w:rsid w:val="00AF389D"/>
    <w:rsid w:val="00AF6087"/>
    <w:rsid w:val="00AF7C07"/>
    <w:rsid w:val="00B32C4F"/>
    <w:rsid w:val="00B3718F"/>
    <w:rsid w:val="00B40A18"/>
    <w:rsid w:val="00B74850"/>
    <w:rsid w:val="00B7739F"/>
    <w:rsid w:val="00B8032E"/>
    <w:rsid w:val="00B91D0A"/>
    <w:rsid w:val="00BA6BEB"/>
    <w:rsid w:val="00BB26E5"/>
    <w:rsid w:val="00BB4F4B"/>
    <w:rsid w:val="00BB5682"/>
    <w:rsid w:val="00BD0681"/>
    <w:rsid w:val="00BD41EB"/>
    <w:rsid w:val="00BD5D31"/>
    <w:rsid w:val="00BE3C2D"/>
    <w:rsid w:val="00BE6E10"/>
    <w:rsid w:val="00BF102F"/>
    <w:rsid w:val="00BF2FDF"/>
    <w:rsid w:val="00BF5A03"/>
    <w:rsid w:val="00C01322"/>
    <w:rsid w:val="00C139A7"/>
    <w:rsid w:val="00C62A35"/>
    <w:rsid w:val="00C64E5B"/>
    <w:rsid w:val="00C65A28"/>
    <w:rsid w:val="00C7143D"/>
    <w:rsid w:val="00C718F7"/>
    <w:rsid w:val="00C91079"/>
    <w:rsid w:val="00CA452A"/>
    <w:rsid w:val="00CB0AC5"/>
    <w:rsid w:val="00CB3765"/>
    <w:rsid w:val="00CC2891"/>
    <w:rsid w:val="00CF64E2"/>
    <w:rsid w:val="00D02F06"/>
    <w:rsid w:val="00D02FFA"/>
    <w:rsid w:val="00D112D8"/>
    <w:rsid w:val="00D12D9A"/>
    <w:rsid w:val="00D147D4"/>
    <w:rsid w:val="00D20A71"/>
    <w:rsid w:val="00D46677"/>
    <w:rsid w:val="00D741DD"/>
    <w:rsid w:val="00D81A60"/>
    <w:rsid w:val="00D833E4"/>
    <w:rsid w:val="00D9218C"/>
    <w:rsid w:val="00D92C20"/>
    <w:rsid w:val="00D9301F"/>
    <w:rsid w:val="00D94FD7"/>
    <w:rsid w:val="00DA4B25"/>
    <w:rsid w:val="00DB3DCA"/>
    <w:rsid w:val="00DB59A0"/>
    <w:rsid w:val="00DE18D6"/>
    <w:rsid w:val="00DE4BFE"/>
    <w:rsid w:val="00E07470"/>
    <w:rsid w:val="00E219EB"/>
    <w:rsid w:val="00E40563"/>
    <w:rsid w:val="00E47483"/>
    <w:rsid w:val="00E5742D"/>
    <w:rsid w:val="00E608F3"/>
    <w:rsid w:val="00E62270"/>
    <w:rsid w:val="00E647DE"/>
    <w:rsid w:val="00E80E9E"/>
    <w:rsid w:val="00E9207A"/>
    <w:rsid w:val="00EB3154"/>
    <w:rsid w:val="00EB6DF3"/>
    <w:rsid w:val="00EC6757"/>
    <w:rsid w:val="00ED300F"/>
    <w:rsid w:val="00ED3298"/>
    <w:rsid w:val="00EF313F"/>
    <w:rsid w:val="00EF3DDA"/>
    <w:rsid w:val="00F01075"/>
    <w:rsid w:val="00F257BD"/>
    <w:rsid w:val="00F34BF2"/>
    <w:rsid w:val="00F36162"/>
    <w:rsid w:val="00F57368"/>
    <w:rsid w:val="00F60D2E"/>
    <w:rsid w:val="00F62BCC"/>
    <w:rsid w:val="00FA22FF"/>
    <w:rsid w:val="00FA3619"/>
    <w:rsid w:val="00FA416D"/>
    <w:rsid w:val="00FB4B69"/>
    <w:rsid w:val="00FB5156"/>
    <w:rsid w:val="00FC0061"/>
    <w:rsid w:val="00FC339C"/>
    <w:rsid w:val="00FD393E"/>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numPr>
        <w:numId w:val="38"/>
      </w:numPr>
      <w:spacing w:after="120"/>
      <w:outlineLvl w:val="0"/>
    </w:pPr>
    <w:rPr>
      <w:rFonts w:eastAsia="Times New Roman"/>
      <w:b/>
      <w:bCs/>
      <w:color w:val="1B2C5B" w:themeColor="accent1"/>
      <w:sz w:val="30"/>
      <w:szCs w:val="28"/>
    </w:rPr>
  </w:style>
  <w:style w:type="paragraph" w:styleId="Heading2">
    <w:name w:val="heading 2"/>
    <w:basedOn w:val="Normal"/>
    <w:next w:val="Normal"/>
    <w:link w:val="Heading2Char"/>
    <w:uiPriority w:val="9"/>
    <w:qFormat/>
    <w:rsid w:val="00CB3765"/>
    <w:pPr>
      <w:keepNext/>
      <w:keepLines/>
      <w:numPr>
        <w:ilvl w:val="1"/>
        <w:numId w:val="38"/>
      </w:numPr>
      <w:spacing w:before="240" w:after="60"/>
      <w:outlineLvl w:val="1"/>
    </w:pPr>
    <w:rPr>
      <w:rFonts w:eastAsia="Times New Roman"/>
      <w:b/>
      <w:bCs/>
      <w:color w:val="1B2C5B" w:themeColor="accent1"/>
      <w:sz w:val="26"/>
      <w:szCs w:val="26"/>
    </w:rPr>
  </w:style>
  <w:style w:type="paragraph" w:styleId="Heading3">
    <w:name w:val="heading 3"/>
    <w:basedOn w:val="Normal"/>
    <w:next w:val="Normal"/>
    <w:link w:val="Heading3Char"/>
    <w:uiPriority w:val="9"/>
    <w:qFormat/>
    <w:rsid w:val="00CB3765"/>
    <w:pPr>
      <w:keepNext/>
      <w:keepLines/>
      <w:numPr>
        <w:ilvl w:val="2"/>
        <w:numId w:val="38"/>
      </w:numPr>
      <w:spacing w:before="240" w:after="60"/>
      <w:outlineLvl w:val="2"/>
    </w:pPr>
    <w:rPr>
      <w:rFonts w:eastAsia="Times New Roman"/>
      <w:b/>
      <w:bCs/>
      <w:color w:val="1B2C5B" w:themeColor="accent1"/>
    </w:rPr>
  </w:style>
  <w:style w:type="paragraph" w:styleId="Heading4">
    <w:name w:val="heading 4"/>
    <w:basedOn w:val="Normal"/>
    <w:next w:val="Normal"/>
    <w:link w:val="Heading4Char"/>
    <w:uiPriority w:val="9"/>
    <w:qFormat/>
    <w:rsid w:val="00C65A28"/>
    <w:pPr>
      <w:keepNext/>
      <w:keepLines/>
      <w:numPr>
        <w:ilvl w:val="3"/>
        <w:numId w:val="38"/>
      </w:numPr>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numPr>
        <w:ilvl w:val="4"/>
        <w:numId w:val="38"/>
      </w:numPr>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numPr>
        <w:ilvl w:val="5"/>
        <w:numId w:val="38"/>
      </w:numPr>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numPr>
        <w:ilvl w:val="6"/>
        <w:numId w:val="38"/>
      </w:numPr>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numPr>
        <w:ilvl w:val="7"/>
        <w:numId w:val="38"/>
      </w:numPr>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numPr>
        <w:ilvl w:val="8"/>
        <w:numId w:val="38"/>
      </w:numPr>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olor w:val="000000"/>
      <w:sz w:val="24"/>
      <w:szCs w:val="22"/>
    </w:rPr>
  </w:style>
  <w:style w:type="paragraph" w:customStyle="1" w:styleId="Headlines">
    <w:name w:val="Headlines"/>
    <w:basedOn w:val="Normal"/>
    <w:next w:val="Heading1"/>
    <w:qFormat/>
    <w:rsid w:val="00CB3765"/>
    <w:pPr>
      <w:spacing w:before="240" w:after="660"/>
      <w:ind w:left="1134"/>
    </w:pPr>
    <w:rPr>
      <w:color w:val="1B2C5B"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1B2C5B" w:themeColor="accent1"/>
      <w:sz w:val="30"/>
      <w:szCs w:val="28"/>
    </w:rPr>
  </w:style>
  <w:style w:type="character" w:customStyle="1" w:styleId="Heading2Char">
    <w:name w:val="Heading 2 Char"/>
    <w:link w:val="Heading2"/>
    <w:uiPriority w:val="9"/>
    <w:rsid w:val="00CB3765"/>
    <w:rPr>
      <w:rFonts w:ascii="Arial" w:eastAsia="Times New Roman" w:hAnsi="Arial"/>
      <w:b/>
      <w:bCs/>
      <w:color w:val="1B2C5B" w:themeColor="accent1"/>
      <w:sz w:val="26"/>
      <w:szCs w:val="26"/>
    </w:rPr>
  </w:style>
  <w:style w:type="character" w:customStyle="1" w:styleId="Heading3Char">
    <w:name w:val="Heading 3 Char"/>
    <w:link w:val="Heading3"/>
    <w:uiPriority w:val="9"/>
    <w:rsid w:val="00CB3765"/>
    <w:rPr>
      <w:rFonts w:ascii="Arial" w:eastAsia="Times New Roman" w:hAnsi="Arial"/>
      <w:b/>
      <w:bCs/>
      <w:color w:val="1B2C5B" w:themeColor="accent1"/>
      <w:sz w:val="24"/>
      <w:szCs w:val="22"/>
    </w:rPr>
  </w:style>
  <w:style w:type="character" w:customStyle="1" w:styleId="Heading4Char">
    <w:name w:val="Heading 4 Char"/>
    <w:link w:val="Heading4"/>
    <w:uiPriority w:val="9"/>
    <w:rsid w:val="00C65A28"/>
    <w:rPr>
      <w:rFonts w:ascii="Arial" w:eastAsia="Times New Roman" w:hAnsi="Arial"/>
      <w:b/>
      <w:bCs/>
      <w:iCs/>
      <w:color w:val="464E56"/>
      <w:sz w:val="24"/>
      <w:szCs w:val="22"/>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i/>
      <w:iCs/>
      <w:color w:val="000000"/>
      <w:sz w:val="24"/>
      <w:szCs w:val="22"/>
    </w:rPr>
  </w:style>
  <w:style w:type="character" w:customStyle="1" w:styleId="Heading7Char">
    <w:name w:val="Heading 7 Char"/>
    <w:link w:val="Heading7"/>
    <w:uiPriority w:val="9"/>
    <w:semiHidden/>
    <w:rsid w:val="00A91C4C"/>
    <w:rPr>
      <w:rFonts w:ascii="Arial" w:eastAsia="Times New Roman" w:hAnsi="Arial"/>
      <w:i/>
      <w:iCs/>
      <w:color w:val="000000"/>
      <w:sz w:val="24"/>
      <w:szCs w:val="22"/>
    </w:rPr>
  </w:style>
  <w:style w:type="character" w:customStyle="1" w:styleId="Heading8Char">
    <w:name w:val="Heading 8 Char"/>
    <w:link w:val="Heading8"/>
    <w:uiPriority w:val="9"/>
    <w:semiHidden/>
    <w:rsid w:val="00A91C4C"/>
    <w:rPr>
      <w:rFonts w:ascii="Arial" w:eastAsia="Times New Roman" w:hAnsi="Arial"/>
      <w:color w:val="000000"/>
      <w:sz w:val="24"/>
    </w:rPr>
  </w:style>
  <w:style w:type="character" w:customStyle="1" w:styleId="Heading9Char">
    <w:name w:val="Heading 9 Char"/>
    <w:link w:val="Heading9"/>
    <w:uiPriority w:val="9"/>
    <w:semiHidden/>
    <w:rsid w:val="00A91C4C"/>
    <w:rPr>
      <w:rFonts w:ascii="Arial" w:eastAsia="Times New Roman" w:hAnsi="Arial"/>
      <w:i/>
      <w:iCs/>
      <w:color w:val="000000"/>
      <w:sz w:val="24"/>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unhideWhenUsed/>
    <w:rsid w:val="009205F3"/>
    <w:rPr>
      <w:sz w:val="20"/>
      <w:szCs w:val="20"/>
    </w:rPr>
  </w:style>
  <w:style w:type="character" w:customStyle="1" w:styleId="FootnoteTextChar">
    <w:name w:val="Footnote Text Char"/>
    <w:basedOn w:val="DefaultParagraphFont"/>
    <w:link w:val="FootnoteText"/>
    <w:uiPriority w:val="99"/>
    <w:rsid w:val="009205F3"/>
    <w:rPr>
      <w:rFonts w:ascii="Arial" w:hAnsi="Arial"/>
    </w:rPr>
  </w:style>
  <w:style w:type="character" w:styleId="FootnoteReference">
    <w:name w:val="footnote reference"/>
    <w:uiPriority w:val="99"/>
    <w:semiHidden/>
    <w:unhideWhenUsed/>
    <w:rsid w:val="009205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numPr>
        <w:numId w:val="38"/>
      </w:numPr>
      <w:spacing w:after="120"/>
      <w:outlineLvl w:val="0"/>
    </w:pPr>
    <w:rPr>
      <w:rFonts w:eastAsia="Times New Roman"/>
      <w:b/>
      <w:bCs/>
      <w:color w:val="1B2C5B" w:themeColor="accent1"/>
      <w:sz w:val="30"/>
      <w:szCs w:val="28"/>
    </w:rPr>
  </w:style>
  <w:style w:type="paragraph" w:styleId="Heading2">
    <w:name w:val="heading 2"/>
    <w:basedOn w:val="Normal"/>
    <w:next w:val="Normal"/>
    <w:link w:val="Heading2Char"/>
    <w:uiPriority w:val="9"/>
    <w:qFormat/>
    <w:rsid w:val="00CB3765"/>
    <w:pPr>
      <w:keepNext/>
      <w:keepLines/>
      <w:numPr>
        <w:ilvl w:val="1"/>
        <w:numId w:val="38"/>
      </w:numPr>
      <w:spacing w:before="240" w:after="60"/>
      <w:outlineLvl w:val="1"/>
    </w:pPr>
    <w:rPr>
      <w:rFonts w:eastAsia="Times New Roman"/>
      <w:b/>
      <w:bCs/>
      <w:color w:val="1B2C5B" w:themeColor="accent1"/>
      <w:sz w:val="26"/>
      <w:szCs w:val="26"/>
    </w:rPr>
  </w:style>
  <w:style w:type="paragraph" w:styleId="Heading3">
    <w:name w:val="heading 3"/>
    <w:basedOn w:val="Normal"/>
    <w:next w:val="Normal"/>
    <w:link w:val="Heading3Char"/>
    <w:uiPriority w:val="9"/>
    <w:qFormat/>
    <w:rsid w:val="00CB3765"/>
    <w:pPr>
      <w:keepNext/>
      <w:keepLines/>
      <w:numPr>
        <w:ilvl w:val="2"/>
        <w:numId w:val="38"/>
      </w:numPr>
      <w:spacing w:before="240" w:after="60"/>
      <w:outlineLvl w:val="2"/>
    </w:pPr>
    <w:rPr>
      <w:rFonts w:eastAsia="Times New Roman"/>
      <w:b/>
      <w:bCs/>
      <w:color w:val="1B2C5B" w:themeColor="accent1"/>
    </w:rPr>
  </w:style>
  <w:style w:type="paragraph" w:styleId="Heading4">
    <w:name w:val="heading 4"/>
    <w:basedOn w:val="Normal"/>
    <w:next w:val="Normal"/>
    <w:link w:val="Heading4Char"/>
    <w:uiPriority w:val="9"/>
    <w:qFormat/>
    <w:rsid w:val="00C65A28"/>
    <w:pPr>
      <w:keepNext/>
      <w:keepLines/>
      <w:numPr>
        <w:ilvl w:val="3"/>
        <w:numId w:val="38"/>
      </w:numPr>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numPr>
        <w:ilvl w:val="4"/>
        <w:numId w:val="38"/>
      </w:numPr>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numPr>
        <w:ilvl w:val="5"/>
        <w:numId w:val="38"/>
      </w:numPr>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numPr>
        <w:ilvl w:val="6"/>
        <w:numId w:val="38"/>
      </w:numPr>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numPr>
        <w:ilvl w:val="7"/>
        <w:numId w:val="38"/>
      </w:numPr>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numPr>
        <w:ilvl w:val="8"/>
        <w:numId w:val="38"/>
      </w:numPr>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olor w:val="000000"/>
      <w:sz w:val="24"/>
      <w:szCs w:val="22"/>
    </w:rPr>
  </w:style>
  <w:style w:type="paragraph" w:customStyle="1" w:styleId="Headlines">
    <w:name w:val="Headlines"/>
    <w:basedOn w:val="Normal"/>
    <w:next w:val="Heading1"/>
    <w:qFormat/>
    <w:rsid w:val="00CB3765"/>
    <w:pPr>
      <w:spacing w:before="240" w:after="660"/>
      <w:ind w:left="1134"/>
    </w:pPr>
    <w:rPr>
      <w:color w:val="1B2C5B"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1B2C5B" w:themeColor="accent1"/>
      <w:sz w:val="30"/>
      <w:szCs w:val="28"/>
    </w:rPr>
  </w:style>
  <w:style w:type="character" w:customStyle="1" w:styleId="Heading2Char">
    <w:name w:val="Heading 2 Char"/>
    <w:link w:val="Heading2"/>
    <w:uiPriority w:val="9"/>
    <w:rsid w:val="00CB3765"/>
    <w:rPr>
      <w:rFonts w:ascii="Arial" w:eastAsia="Times New Roman" w:hAnsi="Arial"/>
      <w:b/>
      <w:bCs/>
      <w:color w:val="1B2C5B" w:themeColor="accent1"/>
      <w:sz w:val="26"/>
      <w:szCs w:val="26"/>
    </w:rPr>
  </w:style>
  <w:style w:type="character" w:customStyle="1" w:styleId="Heading3Char">
    <w:name w:val="Heading 3 Char"/>
    <w:link w:val="Heading3"/>
    <w:uiPriority w:val="9"/>
    <w:rsid w:val="00CB3765"/>
    <w:rPr>
      <w:rFonts w:ascii="Arial" w:eastAsia="Times New Roman" w:hAnsi="Arial"/>
      <w:b/>
      <w:bCs/>
      <w:color w:val="1B2C5B" w:themeColor="accent1"/>
      <w:sz w:val="24"/>
      <w:szCs w:val="22"/>
    </w:rPr>
  </w:style>
  <w:style w:type="character" w:customStyle="1" w:styleId="Heading4Char">
    <w:name w:val="Heading 4 Char"/>
    <w:link w:val="Heading4"/>
    <w:uiPriority w:val="9"/>
    <w:rsid w:val="00C65A28"/>
    <w:rPr>
      <w:rFonts w:ascii="Arial" w:eastAsia="Times New Roman" w:hAnsi="Arial"/>
      <w:b/>
      <w:bCs/>
      <w:iCs/>
      <w:color w:val="464E56"/>
      <w:sz w:val="24"/>
      <w:szCs w:val="22"/>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i/>
      <w:iCs/>
      <w:color w:val="000000"/>
      <w:sz w:val="24"/>
      <w:szCs w:val="22"/>
    </w:rPr>
  </w:style>
  <w:style w:type="character" w:customStyle="1" w:styleId="Heading7Char">
    <w:name w:val="Heading 7 Char"/>
    <w:link w:val="Heading7"/>
    <w:uiPriority w:val="9"/>
    <w:semiHidden/>
    <w:rsid w:val="00A91C4C"/>
    <w:rPr>
      <w:rFonts w:ascii="Arial" w:eastAsia="Times New Roman" w:hAnsi="Arial"/>
      <w:i/>
      <w:iCs/>
      <w:color w:val="000000"/>
      <w:sz w:val="24"/>
      <w:szCs w:val="22"/>
    </w:rPr>
  </w:style>
  <w:style w:type="character" w:customStyle="1" w:styleId="Heading8Char">
    <w:name w:val="Heading 8 Char"/>
    <w:link w:val="Heading8"/>
    <w:uiPriority w:val="9"/>
    <w:semiHidden/>
    <w:rsid w:val="00A91C4C"/>
    <w:rPr>
      <w:rFonts w:ascii="Arial" w:eastAsia="Times New Roman" w:hAnsi="Arial"/>
      <w:color w:val="000000"/>
      <w:sz w:val="24"/>
    </w:rPr>
  </w:style>
  <w:style w:type="character" w:customStyle="1" w:styleId="Heading9Char">
    <w:name w:val="Heading 9 Char"/>
    <w:link w:val="Heading9"/>
    <w:uiPriority w:val="9"/>
    <w:semiHidden/>
    <w:rsid w:val="00A91C4C"/>
    <w:rPr>
      <w:rFonts w:ascii="Arial" w:eastAsia="Times New Roman" w:hAnsi="Arial"/>
      <w:i/>
      <w:iCs/>
      <w:color w:val="000000"/>
      <w:sz w:val="24"/>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unhideWhenUsed/>
    <w:rsid w:val="009205F3"/>
    <w:rPr>
      <w:sz w:val="20"/>
      <w:szCs w:val="20"/>
    </w:rPr>
  </w:style>
  <w:style w:type="character" w:customStyle="1" w:styleId="FootnoteTextChar">
    <w:name w:val="Footnote Text Char"/>
    <w:basedOn w:val="DefaultParagraphFont"/>
    <w:link w:val="FootnoteText"/>
    <w:uiPriority w:val="99"/>
    <w:rsid w:val="009205F3"/>
    <w:rPr>
      <w:rFonts w:ascii="Arial" w:hAnsi="Arial"/>
    </w:rPr>
  </w:style>
  <w:style w:type="character" w:styleId="FootnoteReference">
    <w:name w:val="footnote reference"/>
    <w:uiPriority w:val="99"/>
    <w:semiHidden/>
    <w:unhideWhenUsed/>
    <w:rsid w:val="00920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hart" Target="charts/chart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247137712437109"/>
          <c:y val="6.0185185185185182E-2"/>
          <c:w val="0.63192507913255025"/>
          <c:h val="0.74439012831729368"/>
        </c:manualLayout>
      </c:layout>
      <c:barChart>
        <c:barDir val="bar"/>
        <c:grouping val="clustered"/>
        <c:varyColors val="0"/>
        <c:ser>
          <c:idx val="0"/>
          <c:order val="0"/>
          <c:invertIfNegative val="0"/>
          <c:dPt>
            <c:idx val="0"/>
            <c:invertIfNegative val="0"/>
            <c:bubble3D val="0"/>
            <c:spPr>
              <a:solidFill>
                <a:srgbClr val="92D050"/>
              </a:solidFill>
              <a:ln>
                <a:solidFill>
                  <a:srgbClr val="92D050"/>
                </a:solidFill>
              </a:ln>
            </c:spPr>
          </c:dPt>
          <c:dPt>
            <c:idx val="1"/>
            <c:invertIfNegative val="0"/>
            <c:bubble3D val="0"/>
            <c:spPr>
              <a:solidFill>
                <a:srgbClr val="92D050"/>
              </a:solidFill>
              <a:ln>
                <a:solidFill>
                  <a:srgbClr val="92D050"/>
                </a:solidFill>
              </a:ln>
            </c:spPr>
          </c:dPt>
          <c:dPt>
            <c:idx val="2"/>
            <c:invertIfNegative val="0"/>
            <c:bubble3D val="0"/>
            <c:spPr>
              <a:solidFill>
                <a:srgbClr val="CC99FF"/>
              </a:solidFill>
            </c:spPr>
          </c:dPt>
          <c:dPt>
            <c:idx val="3"/>
            <c:invertIfNegative val="0"/>
            <c:bubble3D val="0"/>
            <c:spPr>
              <a:solidFill>
                <a:srgbClr val="0070C0"/>
              </a:solidFill>
              <a:ln>
                <a:solidFill>
                  <a:srgbClr val="0070C0"/>
                </a:solidFill>
              </a:ln>
            </c:spPr>
          </c:dPt>
          <c:dPt>
            <c:idx val="4"/>
            <c:invertIfNegative val="0"/>
            <c:bubble3D val="0"/>
            <c:spPr>
              <a:solidFill>
                <a:srgbClr val="FFC000"/>
              </a:solidFill>
            </c:spPr>
          </c:dPt>
          <c:dPt>
            <c:idx val="5"/>
            <c:invertIfNegative val="0"/>
            <c:bubble3D val="0"/>
            <c:spPr>
              <a:solidFill>
                <a:srgbClr val="FFC000"/>
              </a:solidFill>
            </c:spPr>
          </c:dPt>
          <c:dPt>
            <c:idx val="6"/>
            <c:invertIfNegative val="0"/>
            <c:bubble3D val="0"/>
            <c:spPr>
              <a:solidFill>
                <a:schemeClr val="accent4">
                  <a:lumMod val="40000"/>
                  <a:lumOff val="60000"/>
                </a:schemeClr>
              </a:solidFill>
            </c:spPr>
          </c:dPt>
          <c:dPt>
            <c:idx val="7"/>
            <c:invertIfNegative val="0"/>
            <c:bubble3D val="0"/>
            <c:spPr>
              <a:solidFill>
                <a:schemeClr val="accent4">
                  <a:lumMod val="60000"/>
                  <a:lumOff val="40000"/>
                </a:schemeClr>
              </a:solidFill>
            </c:spPr>
          </c:dPt>
          <c:dLbls>
            <c:txPr>
              <a:bodyPr/>
              <a:lstStyle/>
              <a:p>
                <a:pPr>
                  <a:defRPr sz="1000"/>
                </a:pPr>
                <a:endParaRPr lang="en-US"/>
              </a:p>
            </c:txPr>
            <c:dLblPos val="outEnd"/>
            <c:showLegendKey val="0"/>
            <c:showVal val="1"/>
            <c:showCatName val="0"/>
            <c:showSerName val="0"/>
            <c:showPercent val="0"/>
            <c:showBubbleSize val="0"/>
            <c:showLeaderLines val="0"/>
          </c:dLbls>
          <c:cat>
            <c:strRef>
              <c:f>Sheet1!$A$125:$A$132</c:f>
              <c:strCache>
                <c:ptCount val="8"/>
                <c:pt idx="0">
                  <c:v>Off label use </c:v>
                </c:pt>
                <c:pt idx="1">
                  <c:v>Theraputic index</c:v>
                </c:pt>
                <c:pt idx="2">
                  <c:v>Global trends </c:v>
                </c:pt>
                <c:pt idx="3">
                  <c:v>Diversion potential</c:v>
                </c:pt>
                <c:pt idx="4">
                  <c:v>Increased use as abused drug </c:v>
                </c:pt>
                <c:pt idx="5">
                  <c:v>Dependence risk</c:v>
                </c:pt>
                <c:pt idx="6">
                  <c:v>Risk of abuse</c:v>
                </c:pt>
                <c:pt idx="7">
                  <c:v>Current harm</c:v>
                </c:pt>
              </c:strCache>
            </c:strRef>
          </c:cat>
          <c:val>
            <c:numRef>
              <c:f>Sheet1!$B$125:$B$132</c:f>
              <c:numCache>
                <c:formatCode>General</c:formatCode>
                <c:ptCount val="8"/>
                <c:pt idx="0">
                  <c:v>4.0999999999999996</c:v>
                </c:pt>
                <c:pt idx="1">
                  <c:v>4.0999999999999996</c:v>
                </c:pt>
                <c:pt idx="2">
                  <c:v>6.2</c:v>
                </c:pt>
                <c:pt idx="3">
                  <c:v>6.7</c:v>
                </c:pt>
                <c:pt idx="4">
                  <c:v>7.7</c:v>
                </c:pt>
                <c:pt idx="5">
                  <c:v>7.7</c:v>
                </c:pt>
                <c:pt idx="6">
                  <c:v>7.8</c:v>
                </c:pt>
                <c:pt idx="7">
                  <c:v>8</c:v>
                </c:pt>
              </c:numCache>
            </c:numRef>
          </c:val>
        </c:ser>
        <c:dLbls>
          <c:showLegendKey val="0"/>
          <c:showVal val="0"/>
          <c:showCatName val="0"/>
          <c:showSerName val="0"/>
          <c:showPercent val="0"/>
          <c:showBubbleSize val="0"/>
        </c:dLbls>
        <c:gapWidth val="150"/>
        <c:axId val="42566400"/>
        <c:axId val="42567936"/>
      </c:barChart>
      <c:catAx>
        <c:axId val="42566400"/>
        <c:scaling>
          <c:orientation val="minMax"/>
        </c:scaling>
        <c:delete val="0"/>
        <c:axPos val="l"/>
        <c:numFmt formatCode="General" sourceLinked="1"/>
        <c:majorTickMark val="out"/>
        <c:minorTickMark val="none"/>
        <c:tickLblPos val="nextTo"/>
        <c:txPr>
          <a:bodyPr/>
          <a:lstStyle/>
          <a:p>
            <a:pPr>
              <a:defRPr sz="1000"/>
            </a:pPr>
            <a:endParaRPr lang="en-US"/>
          </a:p>
        </c:txPr>
        <c:crossAx val="42567936"/>
        <c:crosses val="autoZero"/>
        <c:auto val="1"/>
        <c:lblAlgn val="ctr"/>
        <c:lblOffset val="100"/>
        <c:noMultiLvlLbl val="0"/>
      </c:catAx>
      <c:valAx>
        <c:axId val="42567936"/>
        <c:scaling>
          <c:orientation val="minMax"/>
        </c:scaling>
        <c:delete val="0"/>
        <c:axPos val="b"/>
        <c:title>
          <c:tx>
            <c:rich>
              <a:bodyPr/>
              <a:lstStyle/>
              <a:p>
                <a:pPr>
                  <a:defRPr sz="1050"/>
                </a:pPr>
                <a:r>
                  <a:rPr lang="en-AU" sz="1050" b="0"/>
                  <a:t>Level of importance:  1= low, 10=high </a:t>
                </a:r>
              </a:p>
            </c:rich>
          </c:tx>
          <c:layout>
            <c:manualLayout>
              <c:xMode val="edge"/>
              <c:yMode val="edge"/>
              <c:x val="0.49326578965214213"/>
              <c:y val="0.89324839603382911"/>
            </c:manualLayout>
          </c:layout>
          <c:overlay val="0"/>
        </c:title>
        <c:numFmt formatCode="General" sourceLinked="1"/>
        <c:majorTickMark val="out"/>
        <c:minorTickMark val="none"/>
        <c:tickLblPos val="nextTo"/>
        <c:crossAx val="42566400"/>
        <c:crosses val="autoZero"/>
        <c:crossBetween val="between"/>
      </c:valAx>
      <c:spPr>
        <a:noFill/>
        <a:ln w="25344">
          <a:noFill/>
        </a:ln>
      </c:spPr>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883683564711644"/>
          <c:y val="5.092608104837959E-2"/>
          <c:w val="0.53220603674540679"/>
          <c:h val="0.89814814814814814"/>
        </c:manualLayout>
      </c:layout>
      <c:barChart>
        <c:barDir val="bar"/>
        <c:grouping val="stacked"/>
        <c:varyColors val="0"/>
        <c:ser>
          <c:idx val="0"/>
          <c:order val="0"/>
          <c:spPr>
            <a:solidFill>
              <a:schemeClr val="accent4">
                <a:lumMod val="60000"/>
                <a:lumOff val="40000"/>
              </a:schemeClr>
            </a:solidFill>
          </c:spPr>
          <c:invertIfNegative val="0"/>
          <c:dPt>
            <c:idx val="0"/>
            <c:invertIfNegative val="0"/>
            <c:bubble3D val="0"/>
            <c:spPr>
              <a:solidFill>
                <a:schemeClr val="accent1">
                  <a:lumMod val="40000"/>
                  <a:lumOff val="60000"/>
                </a:schemeClr>
              </a:solidFill>
            </c:spPr>
          </c:dPt>
          <c:dPt>
            <c:idx val="1"/>
            <c:invertIfNegative val="0"/>
            <c:bubble3D val="0"/>
            <c:spPr>
              <a:solidFill>
                <a:srgbClr val="00B050"/>
              </a:solidFill>
              <a:ln>
                <a:solidFill>
                  <a:schemeClr val="accent1"/>
                </a:solidFill>
              </a:ln>
            </c:spPr>
          </c:dPt>
          <c:dPt>
            <c:idx val="2"/>
            <c:invertIfNegative val="0"/>
            <c:bubble3D val="0"/>
            <c:spPr>
              <a:solidFill>
                <a:srgbClr val="CC99FF"/>
              </a:solidFill>
            </c:spPr>
          </c:dPt>
          <c:dPt>
            <c:idx val="3"/>
            <c:invertIfNegative val="0"/>
            <c:bubble3D val="0"/>
            <c:spPr>
              <a:solidFill>
                <a:srgbClr val="00B0F0"/>
              </a:solidFill>
            </c:spPr>
          </c:dPt>
          <c:dPt>
            <c:idx val="4"/>
            <c:invertIfNegative val="0"/>
            <c:bubble3D val="0"/>
            <c:spPr>
              <a:solidFill>
                <a:srgbClr val="0070C0"/>
              </a:solidFill>
            </c:spPr>
          </c:dPt>
          <c:dPt>
            <c:idx val="5"/>
            <c:invertIfNegative val="0"/>
            <c:bubble3D val="0"/>
            <c:spPr>
              <a:solidFill>
                <a:srgbClr val="FFC000"/>
              </a:solidFill>
            </c:spPr>
          </c:dPt>
          <c:cat>
            <c:strRef>
              <c:f>Sheet1!$A$160:$A$166</c:f>
              <c:strCache>
                <c:ptCount val="7"/>
                <c:pt idx="0">
                  <c:v>Other anti-psychotics</c:v>
                </c:pt>
                <c:pt idx="1">
                  <c:v>Quetiapine</c:v>
                </c:pt>
                <c:pt idx="2">
                  <c:v>z-drugs</c:v>
                </c:pt>
                <c:pt idx="3">
                  <c:v>Gabapentanoids</c:v>
                </c:pt>
                <c:pt idx="4">
                  <c:v>Non S8 codeine based products</c:v>
                </c:pt>
                <c:pt idx="5">
                  <c:v>Tramadol</c:v>
                </c:pt>
                <c:pt idx="6">
                  <c:v>Benzodiazepines </c:v>
                </c:pt>
              </c:strCache>
            </c:strRef>
          </c:cat>
          <c:val>
            <c:numRef>
              <c:f>Sheet1!$B$160:$B$166</c:f>
              <c:numCache>
                <c:formatCode>General</c:formatCode>
                <c:ptCount val="7"/>
                <c:pt idx="0">
                  <c:v>15</c:v>
                </c:pt>
                <c:pt idx="1">
                  <c:v>28</c:v>
                </c:pt>
                <c:pt idx="2">
                  <c:v>30</c:v>
                </c:pt>
                <c:pt idx="3">
                  <c:v>40</c:v>
                </c:pt>
                <c:pt idx="4">
                  <c:v>40</c:v>
                </c:pt>
                <c:pt idx="5">
                  <c:v>50</c:v>
                </c:pt>
                <c:pt idx="6">
                  <c:v>70</c:v>
                </c:pt>
              </c:numCache>
            </c:numRef>
          </c:val>
        </c:ser>
        <c:dLbls>
          <c:showLegendKey val="0"/>
          <c:showVal val="0"/>
          <c:showCatName val="0"/>
          <c:showSerName val="0"/>
          <c:showPercent val="0"/>
          <c:showBubbleSize val="0"/>
        </c:dLbls>
        <c:gapWidth val="150"/>
        <c:overlap val="100"/>
        <c:axId val="131614592"/>
        <c:axId val="131616128"/>
      </c:barChart>
      <c:catAx>
        <c:axId val="131614592"/>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31616128"/>
        <c:crosses val="autoZero"/>
        <c:auto val="1"/>
        <c:lblAlgn val="ctr"/>
        <c:lblOffset val="100"/>
        <c:noMultiLvlLbl val="0"/>
      </c:catAx>
      <c:valAx>
        <c:axId val="131616128"/>
        <c:scaling>
          <c:orientation val="minMax"/>
        </c:scaling>
        <c:delete val="1"/>
        <c:axPos val="b"/>
        <c:numFmt formatCode="General" sourceLinked="1"/>
        <c:majorTickMark val="out"/>
        <c:minorTickMark val="none"/>
        <c:tickLblPos val="nextTo"/>
        <c:crossAx val="131614592"/>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0"/>
            <c:invertIfNegative val="0"/>
            <c:bubble3D val="0"/>
            <c:spPr>
              <a:solidFill>
                <a:schemeClr val="accent1">
                  <a:lumMod val="60000"/>
                  <a:lumOff val="40000"/>
                </a:schemeClr>
              </a:solidFill>
            </c:spPr>
          </c:dPt>
          <c:dPt>
            <c:idx val="1"/>
            <c:invertIfNegative val="0"/>
            <c:bubble3D val="0"/>
            <c:spPr>
              <a:solidFill>
                <a:srgbClr val="00B050"/>
              </a:solidFill>
            </c:spPr>
          </c:dPt>
          <c:dPt>
            <c:idx val="2"/>
            <c:invertIfNegative val="0"/>
            <c:bubble3D val="0"/>
            <c:spPr>
              <a:solidFill>
                <a:srgbClr val="FF66FF"/>
              </a:solidFill>
            </c:spPr>
          </c:dPt>
          <c:dPt>
            <c:idx val="3"/>
            <c:invertIfNegative val="0"/>
            <c:bubble3D val="0"/>
            <c:spPr>
              <a:solidFill>
                <a:srgbClr val="0070C0"/>
              </a:solidFill>
            </c:spPr>
          </c:dPt>
          <c:dPt>
            <c:idx val="4"/>
            <c:invertIfNegative val="0"/>
            <c:bubble3D val="0"/>
            <c:spPr>
              <a:solidFill>
                <a:schemeClr val="accent3"/>
              </a:solidFill>
            </c:spPr>
          </c:dPt>
          <c:dPt>
            <c:idx val="5"/>
            <c:invertIfNegative val="0"/>
            <c:bubble3D val="0"/>
            <c:spPr>
              <a:solidFill>
                <a:schemeClr val="accent4">
                  <a:lumMod val="60000"/>
                  <a:lumOff val="40000"/>
                </a:schemeClr>
              </a:solidFill>
            </c:spPr>
          </c:dPt>
          <c:dLbls>
            <c:txPr>
              <a:bodyPr/>
              <a:lstStyle/>
              <a:p>
                <a:pPr>
                  <a:defRPr sz="10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Sheet1!$A$56:$A$61</c:f>
              <c:strCache>
                <c:ptCount val="6"/>
                <c:pt idx="0">
                  <c:v>Co - morbidities</c:v>
                </c:pt>
                <c:pt idx="1">
                  <c:v>Condition being treated</c:v>
                </c:pt>
                <c:pt idx="2">
                  <c:v>Combination with other S4R's</c:v>
                </c:pt>
                <c:pt idx="3">
                  <c:v>Dose</c:v>
                </c:pt>
                <c:pt idx="4">
                  <c:v>Length of  treatment</c:v>
                </c:pt>
                <c:pt idx="5">
                  <c:v>Combination with other S8's</c:v>
                </c:pt>
              </c:strCache>
            </c:strRef>
          </c:cat>
          <c:val>
            <c:numRef>
              <c:f>Sheet1!$B$56:$B$61</c:f>
              <c:numCache>
                <c:formatCode>General</c:formatCode>
                <c:ptCount val="6"/>
                <c:pt idx="0">
                  <c:v>3.2</c:v>
                </c:pt>
                <c:pt idx="1">
                  <c:v>5.5</c:v>
                </c:pt>
                <c:pt idx="2">
                  <c:v>6.3</c:v>
                </c:pt>
                <c:pt idx="3">
                  <c:v>7</c:v>
                </c:pt>
                <c:pt idx="4">
                  <c:v>7.7</c:v>
                </c:pt>
                <c:pt idx="5">
                  <c:v>8.1999999999999993</c:v>
                </c:pt>
              </c:numCache>
            </c:numRef>
          </c:val>
        </c:ser>
        <c:dLbls>
          <c:showLegendKey val="0"/>
          <c:showVal val="0"/>
          <c:showCatName val="0"/>
          <c:showSerName val="0"/>
          <c:showPercent val="0"/>
          <c:showBubbleSize val="0"/>
        </c:dLbls>
        <c:gapWidth val="150"/>
        <c:axId val="111175552"/>
        <c:axId val="111177088"/>
      </c:barChart>
      <c:catAx>
        <c:axId val="111175552"/>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11177088"/>
        <c:crosses val="autoZero"/>
        <c:auto val="1"/>
        <c:lblAlgn val="ctr"/>
        <c:lblOffset val="100"/>
        <c:noMultiLvlLbl val="0"/>
      </c:catAx>
      <c:valAx>
        <c:axId val="111177088"/>
        <c:scaling>
          <c:orientation val="minMax"/>
        </c:scaling>
        <c:delete val="0"/>
        <c:axPos val="b"/>
        <c:title>
          <c:tx>
            <c:rich>
              <a:bodyPr/>
              <a:lstStyle/>
              <a:p>
                <a:pPr>
                  <a:defRPr sz="1000" b="1" i="0" u="none" strike="noStrike" baseline="0">
                    <a:solidFill>
                      <a:srgbClr val="000000"/>
                    </a:solidFill>
                    <a:latin typeface="Arial" panose="020B0604020202020204" pitchFamily="34" charset="0"/>
                    <a:ea typeface="Arial"/>
                    <a:cs typeface="Arial" panose="020B0604020202020204" pitchFamily="34" charset="0"/>
                  </a:defRPr>
                </a:pPr>
                <a:r>
                  <a:rPr lang="en-AU" sz="1000" b="0">
                    <a:latin typeface="Arial" panose="020B0604020202020204" pitchFamily="34" charset="0"/>
                    <a:cs typeface="Arial" panose="020B0604020202020204" pitchFamily="34" charset="0"/>
                  </a:rPr>
                  <a:t>Level of importance: 1= low, 10= high</a:t>
                </a:r>
              </a:p>
            </c:rich>
          </c:tx>
          <c:layout/>
          <c:overlay val="0"/>
        </c:title>
        <c:numFmt formatCode="General" sourceLinked="1"/>
        <c:majorTickMark val="out"/>
        <c:minorTickMark val="none"/>
        <c:tickLblPos val="nextTo"/>
        <c:crossAx val="111175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340507436570426"/>
          <c:y val="6.4814814814814811E-2"/>
          <c:w val="0.52220603674540678"/>
          <c:h val="0.83929753572470112"/>
        </c:manualLayout>
      </c:layout>
      <c:barChart>
        <c:barDir val="bar"/>
        <c:grouping val="clustered"/>
        <c:varyColors val="0"/>
        <c:ser>
          <c:idx val="0"/>
          <c:order val="0"/>
          <c:invertIfNegative val="0"/>
          <c:dPt>
            <c:idx val="0"/>
            <c:invertIfNegative val="0"/>
            <c:bubble3D val="0"/>
            <c:spPr>
              <a:solidFill>
                <a:srgbClr val="92D05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CC99FF"/>
              </a:solidFill>
            </c:spPr>
          </c:dPt>
          <c:dPt>
            <c:idx val="5"/>
            <c:invertIfNegative val="0"/>
            <c:bubble3D val="0"/>
            <c:spPr>
              <a:solidFill>
                <a:srgbClr val="CC99FF"/>
              </a:solidFill>
            </c:spPr>
          </c:dPt>
          <c:dPt>
            <c:idx val="6"/>
            <c:invertIfNegative val="0"/>
            <c:bubble3D val="0"/>
            <c:spPr>
              <a:solidFill>
                <a:schemeClr val="accent6">
                  <a:lumMod val="20000"/>
                  <a:lumOff val="80000"/>
                </a:schemeClr>
              </a:solidFill>
            </c:spPr>
          </c:dPt>
          <c:dPt>
            <c:idx val="7"/>
            <c:invertIfNegative val="0"/>
            <c:bubble3D val="0"/>
            <c:spPr>
              <a:solidFill>
                <a:schemeClr val="accent6">
                  <a:lumMod val="20000"/>
                  <a:lumOff val="80000"/>
                </a:schemeClr>
              </a:solidFill>
            </c:spPr>
          </c:dPt>
          <c:dPt>
            <c:idx val="8"/>
            <c:invertIfNegative val="0"/>
            <c:bubble3D val="0"/>
            <c:spPr>
              <a:solidFill>
                <a:srgbClr val="00B0F0"/>
              </a:solidFill>
            </c:spPr>
          </c:dPt>
          <c:dPt>
            <c:idx val="9"/>
            <c:invertIfNegative val="0"/>
            <c:bubble3D val="0"/>
            <c:spPr>
              <a:solidFill>
                <a:srgbClr val="00B0F0"/>
              </a:solidFill>
            </c:spPr>
          </c:dPt>
          <c:dPt>
            <c:idx val="10"/>
            <c:invertIfNegative val="0"/>
            <c:bubble3D val="0"/>
            <c:spPr>
              <a:solidFill>
                <a:srgbClr val="FFC000"/>
              </a:solidFill>
            </c:spPr>
          </c:dPt>
          <c:dPt>
            <c:idx val="11"/>
            <c:invertIfNegative val="0"/>
            <c:bubble3D val="0"/>
            <c:spPr>
              <a:solidFill>
                <a:schemeClr val="accent4">
                  <a:lumMod val="40000"/>
                  <a:lumOff val="60000"/>
                </a:schemeClr>
              </a:solidFill>
            </c:spPr>
          </c:dPt>
          <c:dPt>
            <c:idx val="12"/>
            <c:invertIfNegative val="0"/>
            <c:bubble3D val="0"/>
            <c:spPr>
              <a:solidFill>
                <a:schemeClr val="accent4">
                  <a:lumMod val="60000"/>
                  <a:lumOff val="40000"/>
                </a:schemeClr>
              </a:solidFill>
            </c:spPr>
          </c:dPt>
          <c:dPt>
            <c:idx val="13"/>
            <c:invertIfNegative val="0"/>
            <c:bubble3D val="0"/>
            <c:spPr>
              <a:solidFill>
                <a:schemeClr val="accent4">
                  <a:lumMod val="60000"/>
                  <a:lumOff val="40000"/>
                </a:schemeClr>
              </a:solidFill>
            </c:spPr>
          </c:dPt>
          <c:dLbls>
            <c:txPr>
              <a:bodyPr/>
              <a:lstStyle/>
              <a:p>
                <a:pPr>
                  <a:defRPr sz="10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Sheet1!$A$18:$A$31</c:f>
              <c:strCache>
                <c:ptCount val="14"/>
                <c:pt idx="0">
                  <c:v>Formulation type</c:v>
                </c:pt>
                <c:pt idx="1">
                  <c:v> &lt; 18 years of age</c:v>
                </c:pt>
                <c:pt idx="2">
                  <c:v>Multi formulation type </c:v>
                </c:pt>
                <c:pt idx="3">
                  <c:v>Recent hosp discharge Rx for opiates</c:v>
                </c:pt>
                <c:pt idx="4">
                  <c:v>Total opioid dose &gt; 50 MEqD</c:v>
                </c:pt>
                <c:pt idx="5">
                  <c:v>No patient views by prescribers</c:v>
                </c:pt>
                <c:pt idx="6">
                  <c:v>Dose escalation </c:v>
                </c:pt>
                <c:pt idx="7">
                  <c:v>Stimulant induced psychosis</c:v>
                </c:pt>
                <c:pt idx="8">
                  <c:v> Prior / current Rx for BZD</c:v>
                </c:pt>
                <c:pt idx="9">
                  <c:v>Prior / current Rx for opioids</c:v>
                </c:pt>
                <c:pt idx="10">
                  <c:v> Early prescribing or dispensing</c:v>
                </c:pt>
                <c:pt idx="11">
                  <c:v>On CPOP</c:v>
                </c:pt>
                <c:pt idx="12">
                  <c:v>DDP or OSP</c:v>
                </c:pt>
                <c:pt idx="13">
                  <c:v>Total opioid dose &gt; 90mg MEqD</c:v>
                </c:pt>
              </c:strCache>
            </c:strRef>
          </c:cat>
          <c:val>
            <c:numRef>
              <c:f>Sheet1!$B$18:$B$31</c:f>
              <c:numCache>
                <c:formatCode>General</c:formatCode>
                <c:ptCount val="14"/>
                <c:pt idx="0">
                  <c:v>2.2999999999999998</c:v>
                </c:pt>
                <c:pt idx="1">
                  <c:v>2.4</c:v>
                </c:pt>
                <c:pt idx="2">
                  <c:v>2.4</c:v>
                </c:pt>
                <c:pt idx="3">
                  <c:v>2.4</c:v>
                </c:pt>
                <c:pt idx="4">
                  <c:v>2.5</c:v>
                </c:pt>
                <c:pt idx="5">
                  <c:v>2.5</c:v>
                </c:pt>
                <c:pt idx="6">
                  <c:v>2.9</c:v>
                </c:pt>
                <c:pt idx="7">
                  <c:v>2.9</c:v>
                </c:pt>
                <c:pt idx="8">
                  <c:v>3</c:v>
                </c:pt>
                <c:pt idx="9">
                  <c:v>3</c:v>
                </c:pt>
                <c:pt idx="10">
                  <c:v>3.1</c:v>
                </c:pt>
                <c:pt idx="11">
                  <c:v>3.3</c:v>
                </c:pt>
                <c:pt idx="12">
                  <c:v>3.7</c:v>
                </c:pt>
                <c:pt idx="13">
                  <c:v>3.7</c:v>
                </c:pt>
              </c:numCache>
            </c:numRef>
          </c:val>
        </c:ser>
        <c:dLbls>
          <c:showLegendKey val="0"/>
          <c:showVal val="0"/>
          <c:showCatName val="0"/>
          <c:showSerName val="0"/>
          <c:showPercent val="0"/>
          <c:showBubbleSize val="0"/>
        </c:dLbls>
        <c:gapWidth val="150"/>
        <c:axId val="131380352"/>
        <c:axId val="131381888"/>
      </c:barChart>
      <c:catAx>
        <c:axId val="131380352"/>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31381888"/>
        <c:crosses val="autoZero"/>
        <c:auto val="1"/>
        <c:lblAlgn val="ctr"/>
        <c:lblOffset val="100"/>
        <c:noMultiLvlLbl val="0"/>
      </c:catAx>
      <c:valAx>
        <c:axId val="131381888"/>
        <c:scaling>
          <c:orientation val="minMax"/>
        </c:scaling>
        <c:delete val="0"/>
        <c:axPos val="b"/>
        <c:title>
          <c:tx>
            <c:rich>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r>
                  <a:rPr lang="en-AU" sz="1000">
                    <a:latin typeface="Arial" panose="020B0604020202020204" pitchFamily="34" charset="0"/>
                    <a:cs typeface="Arial" panose="020B0604020202020204" pitchFamily="34" charset="0"/>
                  </a:rPr>
                  <a:t>Level of importance: 1= low, 4 = high</a:t>
                </a:r>
              </a:p>
            </c:rich>
          </c:tx>
          <c:layout>
            <c:manualLayout>
              <c:xMode val="edge"/>
              <c:yMode val="edge"/>
              <c:x val="0.54676623185330886"/>
              <c:y val="0.94539797825416705"/>
            </c:manualLayout>
          </c:layout>
          <c:overlay val="0"/>
        </c:title>
        <c:numFmt formatCode="General" sourceLinked="1"/>
        <c:majorTickMark val="out"/>
        <c:minorTickMark val="none"/>
        <c:tickLblPos val="nextTo"/>
        <c:txPr>
          <a:bodyPr/>
          <a:lstStyle/>
          <a:p>
            <a:pPr>
              <a:defRPr sz="698">
                <a:latin typeface="Arial" panose="020B0604020202020204" pitchFamily="34" charset="0"/>
                <a:cs typeface="Arial" panose="020B0604020202020204" pitchFamily="34" charset="0"/>
              </a:defRPr>
            </a:pPr>
            <a:endParaRPr lang="en-US"/>
          </a:p>
        </c:txPr>
        <c:crossAx val="1313803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ln>
              <a:noFill/>
            </a:ln>
          </c:spPr>
          <c:invertIfNegative val="0"/>
          <c:dPt>
            <c:idx val="0"/>
            <c:invertIfNegative val="0"/>
            <c:bubble3D val="0"/>
            <c:spPr>
              <a:solidFill>
                <a:schemeClr val="accent1">
                  <a:lumMod val="60000"/>
                  <a:lumOff val="40000"/>
                </a:schemeClr>
              </a:solidFill>
              <a:ln>
                <a:noFill/>
              </a:ln>
            </c:spPr>
          </c:dPt>
          <c:dPt>
            <c:idx val="2"/>
            <c:invertIfNegative val="0"/>
            <c:bubble3D val="0"/>
            <c:spPr>
              <a:solidFill>
                <a:srgbClr val="00B050"/>
              </a:solidFill>
              <a:ln>
                <a:noFill/>
              </a:ln>
            </c:spPr>
          </c:dPt>
          <c:dPt>
            <c:idx val="3"/>
            <c:invertIfNegative val="0"/>
            <c:bubble3D val="0"/>
            <c:spPr>
              <a:solidFill>
                <a:schemeClr val="accent6">
                  <a:lumMod val="40000"/>
                  <a:lumOff val="60000"/>
                </a:schemeClr>
              </a:solidFill>
              <a:ln>
                <a:noFill/>
              </a:ln>
            </c:spPr>
          </c:dPt>
          <c:dPt>
            <c:idx val="4"/>
            <c:invertIfNegative val="0"/>
            <c:bubble3D val="0"/>
            <c:spPr>
              <a:solidFill>
                <a:schemeClr val="accent2">
                  <a:lumMod val="40000"/>
                  <a:lumOff val="60000"/>
                </a:schemeClr>
              </a:solidFill>
              <a:ln>
                <a:noFill/>
              </a:ln>
            </c:spPr>
          </c:dPt>
          <c:dPt>
            <c:idx val="5"/>
            <c:invertIfNegative val="0"/>
            <c:bubble3D val="0"/>
            <c:spPr>
              <a:solidFill>
                <a:schemeClr val="accent2">
                  <a:lumMod val="60000"/>
                  <a:lumOff val="40000"/>
                </a:schemeClr>
              </a:solidFill>
              <a:ln>
                <a:noFill/>
              </a:ln>
            </c:spPr>
          </c:dPt>
          <c:dPt>
            <c:idx val="6"/>
            <c:invertIfNegative val="0"/>
            <c:bubble3D val="0"/>
            <c:spPr>
              <a:solidFill>
                <a:schemeClr val="accent3">
                  <a:lumMod val="60000"/>
                  <a:lumOff val="40000"/>
                </a:schemeClr>
              </a:solidFill>
              <a:ln>
                <a:noFill/>
              </a:ln>
            </c:spPr>
          </c:dPt>
          <c:dPt>
            <c:idx val="7"/>
            <c:invertIfNegative val="0"/>
            <c:bubble3D val="0"/>
            <c:spPr>
              <a:solidFill>
                <a:srgbClr val="FFC000"/>
              </a:solidFill>
              <a:ln>
                <a:noFill/>
              </a:ln>
            </c:spPr>
          </c:dPt>
          <c:dPt>
            <c:idx val="8"/>
            <c:invertIfNegative val="0"/>
            <c:bubble3D val="0"/>
            <c:spPr>
              <a:solidFill>
                <a:schemeClr val="accent4">
                  <a:lumMod val="40000"/>
                  <a:lumOff val="60000"/>
                </a:schemeClr>
              </a:solidFill>
              <a:ln>
                <a:noFill/>
              </a:ln>
            </c:spPr>
          </c:dPt>
          <c:dPt>
            <c:idx val="9"/>
            <c:invertIfNegative val="0"/>
            <c:bubble3D val="0"/>
            <c:spPr>
              <a:solidFill>
                <a:schemeClr val="accent4">
                  <a:lumMod val="60000"/>
                  <a:lumOff val="40000"/>
                </a:schemeClr>
              </a:solidFill>
              <a:ln>
                <a:noFill/>
              </a:ln>
            </c:spPr>
          </c:dPt>
          <c:dLbls>
            <c:txPr>
              <a:bodyPr/>
              <a:lstStyle/>
              <a:p>
                <a:pPr>
                  <a:defRPr sz="1000" b="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Sheet1!$A$2:$A$11</c:f>
              <c:strCache>
                <c:ptCount val="10"/>
                <c:pt idx="0">
                  <c:v>Outpatients</c:v>
                </c:pt>
                <c:pt idx="1">
                  <c:v>Discharge from hospitals</c:v>
                </c:pt>
                <c:pt idx="2">
                  <c:v>Prescriber is authorised to Rx a S8 </c:v>
                </c:pt>
                <c:pt idx="3">
                  <c:v>No IT</c:v>
                </c:pt>
                <c:pt idx="4">
                  <c:v>No internet coverage </c:v>
                </c:pt>
                <c:pt idx="5">
                  <c:v>Residential care</c:v>
                </c:pt>
                <c:pt idx="6">
                  <c:v>Prescriber/pharmacist is under duress</c:v>
                </c:pt>
                <c:pt idx="7">
                  <c:v>System is down</c:v>
                </c:pt>
                <c:pt idx="8">
                  <c:v>Palliative care</c:v>
                </c:pt>
                <c:pt idx="9">
                  <c:v>Acute emergency situations </c:v>
                </c:pt>
              </c:strCache>
            </c:strRef>
          </c:cat>
          <c:val>
            <c:numRef>
              <c:f>Sheet1!$B$2:$B$11</c:f>
              <c:numCache>
                <c:formatCode>General</c:formatCode>
                <c:ptCount val="10"/>
                <c:pt idx="0">
                  <c:v>1.4</c:v>
                </c:pt>
                <c:pt idx="1">
                  <c:v>1.8</c:v>
                </c:pt>
                <c:pt idx="2">
                  <c:v>2.4</c:v>
                </c:pt>
                <c:pt idx="3">
                  <c:v>2.9</c:v>
                </c:pt>
                <c:pt idx="4">
                  <c:v>2.9</c:v>
                </c:pt>
                <c:pt idx="5">
                  <c:v>3.2</c:v>
                </c:pt>
                <c:pt idx="6">
                  <c:v>4.0999999999999996</c:v>
                </c:pt>
                <c:pt idx="7">
                  <c:v>4.2</c:v>
                </c:pt>
                <c:pt idx="8">
                  <c:v>4.3</c:v>
                </c:pt>
                <c:pt idx="9">
                  <c:v>4.5999999999999996</c:v>
                </c:pt>
              </c:numCache>
            </c:numRef>
          </c:val>
        </c:ser>
        <c:dLbls>
          <c:showLegendKey val="0"/>
          <c:showVal val="0"/>
          <c:showCatName val="0"/>
          <c:showSerName val="0"/>
          <c:showPercent val="0"/>
          <c:showBubbleSize val="0"/>
        </c:dLbls>
        <c:gapWidth val="150"/>
        <c:axId val="131455232"/>
        <c:axId val="131473408"/>
      </c:barChart>
      <c:catAx>
        <c:axId val="131455232"/>
        <c:scaling>
          <c:orientation val="minMax"/>
        </c:scaling>
        <c:delete val="0"/>
        <c:axPos val="l"/>
        <c:numFmt formatCode="General" sourceLinked="1"/>
        <c:majorTickMark val="out"/>
        <c:minorTickMark val="none"/>
        <c:tickLblPos val="nextTo"/>
        <c:txPr>
          <a:bodyPr/>
          <a:lstStyle/>
          <a:p>
            <a:pPr>
              <a:defRPr b="0">
                <a:latin typeface="Arial" panose="020B0604020202020204" pitchFamily="34" charset="0"/>
                <a:cs typeface="Arial" panose="020B0604020202020204" pitchFamily="34" charset="0"/>
              </a:defRPr>
            </a:pPr>
            <a:endParaRPr lang="en-US"/>
          </a:p>
        </c:txPr>
        <c:crossAx val="131473408"/>
        <c:crosses val="autoZero"/>
        <c:auto val="1"/>
        <c:lblAlgn val="ctr"/>
        <c:lblOffset val="100"/>
        <c:noMultiLvlLbl val="0"/>
      </c:catAx>
      <c:valAx>
        <c:axId val="131473408"/>
        <c:scaling>
          <c:orientation val="minMax"/>
        </c:scaling>
        <c:delete val="0"/>
        <c:axPos val="b"/>
        <c:title>
          <c:tx>
            <c:rich>
              <a:bodyPr/>
              <a:lstStyle/>
              <a:p>
                <a:pPr algn="ctr">
                  <a:defRPr sz="1000" b="0" i="0" u="none" strike="noStrike" baseline="0">
                    <a:solidFill>
                      <a:srgbClr val="000000"/>
                    </a:solidFill>
                    <a:latin typeface="Arial" panose="020B0604020202020204" pitchFamily="34" charset="0"/>
                    <a:ea typeface="Arial"/>
                    <a:cs typeface="Arial" panose="020B0604020202020204" pitchFamily="34" charset="0"/>
                  </a:defRPr>
                </a:pPr>
                <a:r>
                  <a:rPr lang="en-AU" sz="1000" b="0">
                    <a:latin typeface="Arial" panose="020B0604020202020204" pitchFamily="34" charset="0"/>
                    <a:cs typeface="Arial" panose="020B0604020202020204" pitchFamily="34" charset="0"/>
                  </a:rPr>
                  <a:t>Level of agreement</a:t>
                </a:r>
                <a:r>
                  <a:rPr lang="en-AU" sz="1000" b="0" baseline="0">
                    <a:latin typeface="Arial" panose="020B0604020202020204" pitchFamily="34" charset="0"/>
                    <a:cs typeface="Arial" panose="020B0604020202020204" pitchFamily="34" charset="0"/>
                  </a:rPr>
                  <a:t> </a:t>
                </a:r>
                <a:r>
                  <a:rPr lang="en-AU" sz="1000" b="0">
                    <a:latin typeface="Arial" panose="020B0604020202020204" pitchFamily="34" charset="0"/>
                    <a:cs typeface="Arial" panose="020B0604020202020204" pitchFamily="34" charset="0"/>
                  </a:rPr>
                  <a:t>on exemptions to check for an alert if RTPM  was made mandatory. 1= strongly disagree,  5 = strongly agree</a:t>
                </a:r>
              </a:p>
            </c:rich>
          </c:tx>
          <c:layout>
            <c:manualLayout>
              <c:xMode val="edge"/>
              <c:yMode val="edge"/>
              <c:x val="0.23334641980388024"/>
              <c:y val="0.83373460758705431"/>
            </c:manualLayout>
          </c:layout>
          <c:overlay val="0"/>
        </c:title>
        <c:numFmt formatCode="General" sourceLinked="1"/>
        <c:majorTickMark val="out"/>
        <c:minorTickMark val="none"/>
        <c:tickLblPos val="nextTo"/>
        <c:crossAx val="131455232"/>
        <c:crosses val="autoZero"/>
        <c:crossBetween val="between"/>
        <c:minorUnit val="0.2"/>
      </c:valAx>
      <c:spPr>
        <a:noFill/>
        <a:ln w="25312">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23840769903763"/>
          <c:y val="7.407407407407407E-2"/>
          <c:w val="0.69653937007874012"/>
          <c:h val="0.65327664041994749"/>
        </c:manualLayout>
      </c:layout>
      <c:barChart>
        <c:barDir val="bar"/>
        <c:grouping val="clustered"/>
        <c:varyColors val="0"/>
        <c:ser>
          <c:idx val="0"/>
          <c:order val="0"/>
          <c:tx>
            <c:strRef>
              <c:f>Sheet1!$B$33</c:f>
              <c:strCache>
                <c:ptCount val="1"/>
                <c:pt idx="0">
                  <c:v>%</c:v>
                </c:pt>
              </c:strCache>
            </c:strRef>
          </c:tx>
          <c:spPr>
            <a:solidFill>
              <a:srgbClr val="FF0000"/>
            </a:solidFill>
            <a:ln>
              <a:solidFill>
                <a:srgbClr val="00B050"/>
              </a:solidFill>
            </a:ln>
          </c:spPr>
          <c:invertIfNegative val="0"/>
          <c:dPt>
            <c:idx val="0"/>
            <c:invertIfNegative val="0"/>
            <c:bubble3D val="0"/>
            <c:spPr>
              <a:solidFill>
                <a:srgbClr val="00B050"/>
              </a:solidFill>
              <a:ln>
                <a:solidFill>
                  <a:srgbClr val="00B050"/>
                </a:solidFill>
              </a:ln>
            </c:spPr>
          </c:dPt>
          <c:dPt>
            <c:idx val="1"/>
            <c:invertIfNegative val="0"/>
            <c:bubble3D val="0"/>
            <c:spPr>
              <a:solidFill>
                <a:srgbClr val="0070C0"/>
              </a:solidFill>
              <a:ln>
                <a:solidFill>
                  <a:srgbClr val="0070C0"/>
                </a:solidFill>
              </a:ln>
            </c:spPr>
          </c:dPt>
          <c:dPt>
            <c:idx val="2"/>
            <c:invertIfNegative val="0"/>
            <c:bubble3D val="0"/>
            <c:spPr>
              <a:solidFill>
                <a:srgbClr val="FF0000"/>
              </a:solidFill>
              <a:ln>
                <a:solidFill>
                  <a:srgbClr val="FF0000"/>
                </a:solidFill>
              </a:ln>
            </c:spPr>
          </c:dPt>
          <c:dLbls>
            <c:dLbl>
              <c:idx val="0"/>
              <c:layout>
                <c:manualLayout>
                  <c:x val="2.7777777777777779E-3"/>
                  <c:y val="-9.2592592592592587E-3"/>
                </c:manualLayout>
              </c:layout>
              <c:tx>
                <c:rich>
                  <a:bodyPr/>
                  <a:lstStyle/>
                  <a:p>
                    <a:r>
                      <a:rPr lang="en-US" sz="1000">
                        <a:latin typeface="Arial" panose="020B0604020202020204" pitchFamily="34" charset="0"/>
                        <a:cs typeface="Arial" panose="020B0604020202020204" pitchFamily="34" charset="0"/>
                      </a:rPr>
                      <a:t> 22%</a:t>
                    </a:r>
                    <a:endParaRPr lang="en-US"/>
                  </a:p>
                </c:rich>
              </c:tx>
              <c:dLblPos val="outEnd"/>
              <c:showLegendKey val="0"/>
              <c:showVal val="0"/>
              <c:showCatName val="0"/>
              <c:showSerName val="0"/>
              <c:showPercent val="0"/>
              <c:showBubbleSize val="0"/>
            </c:dLbl>
            <c:dLbl>
              <c:idx val="1"/>
              <c:layout>
                <c:manualLayout>
                  <c:x val="2.7777777777777779E-3"/>
                  <c:y val="-1.3888888888888888E-2"/>
                </c:manualLayout>
              </c:layout>
              <c:tx>
                <c:rich>
                  <a:bodyPr/>
                  <a:lstStyle/>
                  <a:p>
                    <a:r>
                      <a:rPr lang="en-US" sz="1000">
                        <a:latin typeface="Arial" panose="020B0604020202020204" pitchFamily="34" charset="0"/>
                        <a:cs typeface="Arial" panose="020B0604020202020204" pitchFamily="34" charset="0"/>
                      </a:rPr>
                      <a:t> 30%</a:t>
                    </a:r>
                    <a:endParaRPr lang="en-US"/>
                  </a:p>
                </c:rich>
              </c:tx>
              <c:dLblPos val="outEnd"/>
              <c:showLegendKey val="0"/>
              <c:showVal val="0"/>
              <c:showCatName val="0"/>
              <c:showSerName val="0"/>
              <c:showPercent val="0"/>
              <c:showBubbleSize val="0"/>
            </c:dLbl>
            <c:dLbl>
              <c:idx val="2"/>
              <c:layout>
                <c:manualLayout>
                  <c:x val="0"/>
                  <c:y val="-7.1664479440069987E-3"/>
                </c:manualLayout>
              </c:layout>
              <c:tx>
                <c:rich>
                  <a:bodyPr/>
                  <a:lstStyle/>
                  <a:p>
                    <a:r>
                      <a:rPr lang="en-US" sz="1000">
                        <a:latin typeface="Arial" panose="020B0604020202020204" pitchFamily="34" charset="0"/>
                        <a:cs typeface="Arial" panose="020B0604020202020204" pitchFamily="34" charset="0"/>
                      </a:rPr>
                      <a:t>48%</a:t>
                    </a:r>
                    <a:endParaRPr lang="en-US" sz="1000"/>
                  </a:p>
                </c:rich>
              </c:tx>
              <c:dLblPos val="outEnd"/>
              <c:showLegendKey val="0"/>
              <c:showVal val="0"/>
              <c:showCatName val="0"/>
              <c:showSerName val="0"/>
              <c:showPercent val="0"/>
              <c:showBubbleSize val="0"/>
            </c:dLbl>
            <c:txPr>
              <a:bodyPr/>
              <a:lstStyle/>
              <a:p>
                <a:pPr>
                  <a:defRPr sz="1000">
                    <a:latin typeface="Arial" panose="020B0604020202020204" pitchFamily="34" charset="0"/>
                    <a:cs typeface="Arial" panose="020B0604020202020204" pitchFamily="34" charset="0"/>
                  </a:defRPr>
                </a:pPr>
                <a:endParaRPr lang="en-US"/>
              </a:p>
            </c:txPr>
            <c:showLegendKey val="0"/>
            <c:showVal val="1"/>
            <c:showCatName val="0"/>
            <c:showSerName val="1"/>
            <c:showPercent val="0"/>
            <c:showBubbleSize val="0"/>
            <c:showLeaderLines val="0"/>
          </c:dLbls>
          <c:cat>
            <c:strRef>
              <c:f>Sheet1!$A$34:$A$36</c:f>
              <c:strCache>
                <c:ptCount val="3"/>
                <c:pt idx="0">
                  <c:v>No information should be made accessible</c:v>
                </c:pt>
                <c:pt idx="1">
                  <c:v>A prescribers pattern of prescribing  for S8 and S4R's</c:v>
                </c:pt>
                <c:pt idx="2">
                  <c:v>DoH correspondence: prescribing S8/S4R's when unauthorised</c:v>
                </c:pt>
              </c:strCache>
            </c:strRef>
          </c:cat>
          <c:val>
            <c:numRef>
              <c:f>Sheet1!$B$34:$B$36</c:f>
              <c:numCache>
                <c:formatCode>General</c:formatCode>
                <c:ptCount val="3"/>
                <c:pt idx="0">
                  <c:v>22</c:v>
                </c:pt>
                <c:pt idx="1">
                  <c:v>30</c:v>
                </c:pt>
                <c:pt idx="2">
                  <c:v>48</c:v>
                </c:pt>
              </c:numCache>
            </c:numRef>
          </c:val>
        </c:ser>
        <c:dLbls>
          <c:showLegendKey val="0"/>
          <c:showVal val="0"/>
          <c:showCatName val="0"/>
          <c:showSerName val="0"/>
          <c:showPercent val="0"/>
          <c:showBubbleSize val="0"/>
        </c:dLbls>
        <c:gapWidth val="150"/>
        <c:axId val="131532672"/>
        <c:axId val="131534208"/>
      </c:barChart>
      <c:catAx>
        <c:axId val="131532672"/>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31534208"/>
        <c:crosses val="autoZero"/>
        <c:auto val="1"/>
        <c:lblAlgn val="ctr"/>
        <c:lblOffset val="100"/>
        <c:noMultiLvlLbl val="0"/>
      </c:catAx>
      <c:valAx>
        <c:axId val="131534208"/>
        <c:scaling>
          <c:orientation val="minMax"/>
          <c:max val="100"/>
        </c:scaling>
        <c:delete val="0"/>
        <c:axPos val="b"/>
        <c:title>
          <c:tx>
            <c:rich>
              <a:bodyPr/>
              <a:lstStyle/>
              <a:p>
                <a:pPr>
                  <a:defRPr sz="998" b="0" i="0" u="none" strike="noStrike" baseline="0">
                    <a:solidFill>
                      <a:srgbClr val="000000"/>
                    </a:solidFill>
                    <a:latin typeface="Arial" panose="020B0604020202020204" pitchFamily="34" charset="0"/>
                    <a:ea typeface="Arial"/>
                    <a:cs typeface="Arial" panose="020B0604020202020204" pitchFamily="34" charset="0"/>
                  </a:defRPr>
                </a:pPr>
                <a:r>
                  <a:rPr lang="en-AU" b="0">
                    <a:latin typeface="Arial" panose="020B0604020202020204" pitchFamily="34" charset="0"/>
                    <a:cs typeface="Arial" panose="020B0604020202020204" pitchFamily="34" charset="0"/>
                  </a:rPr>
                  <a:t>% of repsonders </a:t>
                </a:r>
              </a:p>
            </c:rich>
          </c:tx>
          <c:layout/>
          <c:overlay val="0"/>
        </c:title>
        <c:numFmt formatCode="General" sourceLinked="1"/>
        <c:majorTickMark val="out"/>
        <c:minorTickMark val="none"/>
        <c:tickLblPos val="nextTo"/>
        <c:crossAx val="13153267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0"/>
            <c:invertIfNegative val="0"/>
            <c:bubble3D val="0"/>
            <c:spPr>
              <a:solidFill>
                <a:srgbClr val="00B050"/>
              </a:solidFill>
              <a:ln>
                <a:solidFill>
                  <a:srgbClr val="00B050"/>
                </a:solidFill>
              </a:ln>
            </c:spPr>
          </c:dPt>
          <c:dPt>
            <c:idx val="1"/>
            <c:invertIfNegative val="0"/>
            <c:bubble3D val="0"/>
            <c:spPr>
              <a:solidFill>
                <a:srgbClr val="0070C0"/>
              </a:solidFill>
            </c:spPr>
          </c:dPt>
          <c:dPt>
            <c:idx val="2"/>
            <c:invertIfNegative val="0"/>
            <c:bubble3D val="0"/>
            <c:spPr>
              <a:solidFill>
                <a:srgbClr val="FFC000"/>
              </a:solidFill>
              <a:ln>
                <a:solidFill>
                  <a:srgbClr val="FFC000"/>
                </a:solidFill>
              </a:ln>
            </c:spPr>
          </c:dPt>
          <c:dPt>
            <c:idx val="3"/>
            <c:invertIfNegative val="0"/>
            <c:bubble3D val="0"/>
            <c:spPr>
              <a:solidFill>
                <a:srgbClr val="FF0000"/>
              </a:solidFill>
              <a:ln>
                <a:solidFill>
                  <a:srgbClr val="FF0000"/>
                </a:solidFill>
              </a:ln>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txPr>
              <a:bodyPr/>
              <a:lstStyle/>
              <a:p>
                <a:pPr>
                  <a:defRPr>
                    <a:latin typeface="Arial" panose="020B0604020202020204" pitchFamily="34" charset="0"/>
                    <a:cs typeface="Arial" panose="020B0604020202020204" pitchFamily="34" charset="0"/>
                  </a:defRPr>
                </a:pPr>
                <a:endParaRPr lang="en-US"/>
              </a:p>
            </c:txPr>
            <c:showLegendKey val="0"/>
            <c:showVal val="0"/>
            <c:showCatName val="0"/>
            <c:showSerName val="0"/>
            <c:showPercent val="0"/>
            <c:showBubbleSize val="0"/>
          </c:dLbls>
          <c:cat>
            <c:strRef>
              <c:f>Sheet1!$A$57:$A$60</c:f>
              <c:strCache>
                <c:ptCount val="4"/>
                <c:pt idx="0">
                  <c:v>Increase in demand  for drug treatment services</c:v>
                </c:pt>
                <c:pt idx="1">
                  <c:v>Number of hospital admisssions</c:v>
                </c:pt>
                <c:pt idx="2">
                  <c:v>Number of S8/S4R prescriptions</c:v>
                </c:pt>
                <c:pt idx="3">
                  <c:v>Reduction in number of deaths </c:v>
                </c:pt>
              </c:strCache>
            </c:strRef>
          </c:cat>
          <c:val>
            <c:numRef>
              <c:f>Sheet1!$B$57:$B$60</c:f>
              <c:numCache>
                <c:formatCode>General</c:formatCode>
                <c:ptCount val="4"/>
                <c:pt idx="0">
                  <c:v>3.3</c:v>
                </c:pt>
                <c:pt idx="1">
                  <c:v>3.6</c:v>
                </c:pt>
                <c:pt idx="2">
                  <c:v>3.7</c:v>
                </c:pt>
                <c:pt idx="3">
                  <c:v>4.5</c:v>
                </c:pt>
              </c:numCache>
            </c:numRef>
          </c:val>
        </c:ser>
        <c:dLbls>
          <c:showLegendKey val="0"/>
          <c:showVal val="0"/>
          <c:showCatName val="0"/>
          <c:showSerName val="0"/>
          <c:showPercent val="0"/>
          <c:showBubbleSize val="0"/>
        </c:dLbls>
        <c:gapWidth val="150"/>
        <c:axId val="131593344"/>
        <c:axId val="131594880"/>
      </c:barChart>
      <c:catAx>
        <c:axId val="131593344"/>
        <c:scaling>
          <c:orientation val="minMax"/>
        </c:scaling>
        <c:delete val="0"/>
        <c:axPos val="l"/>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31594880"/>
        <c:crosses val="autoZero"/>
        <c:auto val="1"/>
        <c:lblAlgn val="ctr"/>
        <c:lblOffset val="100"/>
        <c:noMultiLvlLbl val="0"/>
      </c:catAx>
      <c:valAx>
        <c:axId val="131594880"/>
        <c:scaling>
          <c:orientation val="minMax"/>
        </c:scaling>
        <c:delete val="0"/>
        <c:axPos val="b"/>
        <c:title>
          <c:tx>
            <c:rich>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r>
                  <a:rPr lang="en-AU" sz="1000">
                    <a:latin typeface="Arial" panose="020B0604020202020204" pitchFamily="34" charset="0"/>
                    <a:cs typeface="Arial" panose="020B0604020202020204" pitchFamily="34" charset="0"/>
                  </a:rPr>
                  <a:t>Level of agreement on which factors demonstrate</a:t>
                </a:r>
                <a:r>
                  <a:rPr lang="en-AU" sz="1000" baseline="0">
                    <a:latin typeface="Arial" panose="020B0604020202020204" pitchFamily="34" charset="0"/>
                    <a:cs typeface="Arial" panose="020B0604020202020204" pitchFamily="34" charset="0"/>
                  </a:rPr>
                  <a:t> </a:t>
                </a:r>
                <a:r>
                  <a:rPr lang="en-AU" sz="1000">
                    <a:latin typeface="Arial" panose="020B0604020202020204" pitchFamily="34" charset="0"/>
                    <a:cs typeface="Arial" panose="020B0604020202020204" pitchFamily="34" charset="0"/>
                  </a:rPr>
                  <a:t>that RTPM has  worked or not. 1= strongly disagree, 5 = strongly agree</a:t>
                </a:r>
              </a:p>
            </c:rich>
          </c:tx>
          <c:layout>
            <c:manualLayout>
              <c:xMode val="edge"/>
              <c:yMode val="edge"/>
              <c:x val="0.15673602501814934"/>
              <c:y val="0.83317094356011256"/>
            </c:manualLayout>
          </c:layout>
          <c:overlay val="0"/>
        </c:title>
        <c:numFmt formatCode="General" sourceLinked="1"/>
        <c:majorTickMark val="out"/>
        <c:minorTickMark val="none"/>
        <c:tickLblPos val="nextTo"/>
        <c:crossAx val="13159334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cdr:x>
      <cdr:y>0.2309</cdr:y>
    </cdr:from>
    <cdr:to>
      <cdr:x>1</cdr:x>
      <cdr:y>0.56424</cdr:y>
    </cdr:to>
    <cdr:sp macro="" textlink="">
      <cdr:nvSpPr>
        <cdr:cNvPr id="2" name="TextBox 1"/>
        <cdr:cNvSpPr txBox="1"/>
      </cdr:nvSpPr>
      <cdr:spPr>
        <a:xfrm xmlns:a="http://schemas.openxmlformats.org/drawingml/2006/main">
          <a:off x="3876675" y="6334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a:p>
      </cdr:txBody>
    </cdr:sp>
  </cdr:relSizeAnchor>
</c:userShape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WA Health Excel 1">
    <a:dk1>
      <a:sysClr val="windowText" lastClr="000000"/>
    </a:dk1>
    <a:lt1>
      <a:sysClr val="window" lastClr="FFFFFF"/>
    </a:lt1>
    <a:dk2>
      <a:srgbClr val="757477"/>
    </a:dk2>
    <a:lt2>
      <a:srgbClr val="FFFFFF"/>
    </a:lt2>
    <a:accent1>
      <a:srgbClr val="5C8727"/>
    </a:accent1>
    <a:accent2>
      <a:srgbClr val="004B8D"/>
    </a:accent2>
    <a:accent3>
      <a:srgbClr val="FFCC00"/>
    </a:accent3>
    <a:accent4>
      <a:srgbClr val="990000"/>
    </a:accent4>
    <a:accent5>
      <a:srgbClr val="5C8727"/>
    </a:accent5>
    <a:accent6>
      <a:srgbClr val="004B8D"/>
    </a:accent6>
    <a:hlink>
      <a:srgbClr val="004B8D"/>
    </a:hlink>
    <a:folHlink>
      <a:srgbClr val="6E298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3C11-83E6-4B56-98B9-48ED32E467DC}">
  <ds:schemaRefs>
    <ds:schemaRef ds:uri="http://schemas.microsoft.com/sharepoint/v3/contenttype/forms"/>
  </ds:schemaRefs>
</ds:datastoreItem>
</file>

<file path=customXml/itemProps2.xml><?xml version="1.0" encoding="utf-8"?>
<ds:datastoreItem xmlns:ds="http://schemas.openxmlformats.org/officeDocument/2006/customXml" ds:itemID="{3BF8A381-68E6-45A8-BC61-34F1D36C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F5254D-97D8-4FBF-AEB2-C1BF94F8BE3E}">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B76FAEC-7B60-4D10-92D7-03640180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15746</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Filippin, Tricia</cp:lastModifiedBy>
  <cp:revision>18</cp:revision>
  <cp:lastPrinted>2019-09-03T06:35:00Z</cp:lastPrinted>
  <dcterms:created xsi:type="dcterms:W3CDTF">2019-09-03T05:29:00Z</dcterms:created>
  <dcterms:modified xsi:type="dcterms:W3CDTF">2019-09-03T06:57:00Z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